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284"/>
        <w:gridCol w:w="8930"/>
      </w:tblGrid>
      <w:tr w:rsidR="00E10F41" w:rsidRPr="000D7F38" w14:paraId="491C6E56" w14:textId="77777777" w:rsidTr="008D6186">
        <w:tc>
          <w:tcPr>
            <w:tcW w:w="625" w:type="pct"/>
            <w:gridSpan w:val="2"/>
            <w:shd w:val="clear" w:color="auto" w:fill="auto"/>
            <w:tcMar>
              <w:top w:w="0" w:type="dxa"/>
              <w:left w:w="0" w:type="dxa"/>
              <w:bottom w:w="0" w:type="dxa"/>
              <w:right w:w="0" w:type="dxa"/>
            </w:tcMar>
            <w:vAlign w:val="center"/>
          </w:tcPr>
          <w:p w14:paraId="323118F0" w14:textId="1A859E40" w:rsidR="00E10F41" w:rsidRPr="000D7F38" w:rsidRDefault="00E10F41" w:rsidP="00685ADA">
            <w:pPr>
              <w:spacing w:before="60" w:after="60"/>
              <w:rPr>
                <w:color w:val="000000" w:themeColor="text1"/>
                <w:sz w:val="26"/>
                <w:szCs w:val="26"/>
              </w:rPr>
            </w:pPr>
            <w:bookmarkStart w:id="0" w:name="_GoBack"/>
            <w:bookmarkEnd w:id="0"/>
            <w:r w:rsidRPr="000D7F38">
              <w:rPr>
                <w:b/>
                <w:bCs/>
                <w:color w:val="000000" w:themeColor="text1"/>
                <w:sz w:val="26"/>
                <w:szCs w:val="26"/>
                <w:lang w:val="vi-VN"/>
              </w:rPr>
              <w:t>Thủ tục</w:t>
            </w:r>
          </w:p>
        </w:tc>
        <w:tc>
          <w:tcPr>
            <w:tcW w:w="4375" w:type="pct"/>
            <w:shd w:val="clear" w:color="auto" w:fill="auto"/>
            <w:tcMar>
              <w:top w:w="0" w:type="dxa"/>
              <w:left w:w="0" w:type="dxa"/>
              <w:bottom w:w="0" w:type="dxa"/>
              <w:right w:w="0" w:type="dxa"/>
            </w:tcMar>
            <w:vAlign w:val="center"/>
          </w:tcPr>
          <w:p w14:paraId="20968296" w14:textId="77777777" w:rsidR="00E10F41" w:rsidRPr="000D7F38" w:rsidRDefault="00E10F41" w:rsidP="008D6186">
            <w:pPr>
              <w:spacing w:before="60" w:after="60"/>
              <w:ind w:left="71" w:right="142"/>
              <w:jc w:val="both"/>
              <w:rPr>
                <w:color w:val="000000" w:themeColor="text1"/>
                <w:sz w:val="26"/>
                <w:szCs w:val="26"/>
              </w:rPr>
            </w:pPr>
            <w:r w:rsidRPr="00E10F41">
              <w:rPr>
                <w:b/>
                <w:bCs/>
                <w:sz w:val="26"/>
                <w:szCs w:val="26"/>
                <w:lang w:val="vi-VN"/>
              </w:rPr>
              <w:t>Kiểm soát thay đổi</w:t>
            </w:r>
            <w:r w:rsidRPr="00E10F41">
              <w:rPr>
                <w:b/>
                <w:bCs/>
                <w:sz w:val="26"/>
                <w:szCs w:val="26"/>
              </w:rPr>
              <w:t xml:space="preserve"> trong </w:t>
            </w:r>
            <w:r w:rsidRPr="00E10F41">
              <w:rPr>
                <w:b/>
                <w:bCs/>
                <w:sz w:val="26"/>
                <w:szCs w:val="26"/>
                <w:lang w:val="vi-VN"/>
              </w:rPr>
              <w:t>thử kỹ thuật mới, phương pháp mới hoặc thử thiết bị y tế trên lâm sàng</w:t>
            </w:r>
          </w:p>
        </w:tc>
      </w:tr>
      <w:tr w:rsidR="00E10F41" w:rsidRPr="000D7F38" w14:paraId="3D4D6F4D" w14:textId="77777777" w:rsidTr="008D6186">
        <w:tc>
          <w:tcPr>
            <w:tcW w:w="5000" w:type="pct"/>
            <w:gridSpan w:val="3"/>
            <w:shd w:val="clear" w:color="auto" w:fill="auto"/>
            <w:tcMar>
              <w:top w:w="0" w:type="dxa"/>
              <w:left w:w="0" w:type="dxa"/>
              <w:bottom w:w="0" w:type="dxa"/>
              <w:right w:w="0" w:type="dxa"/>
            </w:tcMar>
          </w:tcPr>
          <w:p w14:paraId="62C1BBC5" w14:textId="77777777" w:rsidR="00E10F41" w:rsidRPr="000D7F38" w:rsidRDefault="00E10F41" w:rsidP="008D6186">
            <w:pPr>
              <w:spacing w:before="60" w:after="60"/>
              <w:ind w:left="71" w:right="142"/>
              <w:rPr>
                <w:color w:val="000000" w:themeColor="text1"/>
                <w:sz w:val="26"/>
                <w:szCs w:val="26"/>
              </w:rPr>
            </w:pPr>
            <w:r w:rsidRPr="000D7F38">
              <w:rPr>
                <w:b/>
                <w:bCs/>
                <w:color w:val="000000" w:themeColor="text1"/>
                <w:sz w:val="26"/>
                <w:szCs w:val="26"/>
              </w:rPr>
              <w:t xml:space="preserve"> </w:t>
            </w:r>
            <w:r w:rsidRPr="000D7F38">
              <w:rPr>
                <w:b/>
                <w:bCs/>
                <w:color w:val="000000" w:themeColor="text1"/>
                <w:sz w:val="26"/>
                <w:szCs w:val="26"/>
                <w:lang w:val="vi-VN"/>
              </w:rPr>
              <w:t>Trình t</w:t>
            </w:r>
            <w:r w:rsidRPr="000D7F38">
              <w:rPr>
                <w:b/>
                <w:bCs/>
                <w:color w:val="000000" w:themeColor="text1"/>
                <w:sz w:val="26"/>
                <w:szCs w:val="26"/>
              </w:rPr>
              <w:t xml:space="preserve">ự </w:t>
            </w:r>
            <w:r w:rsidRPr="000D7F38">
              <w:rPr>
                <w:b/>
                <w:bCs/>
                <w:color w:val="000000" w:themeColor="text1"/>
                <w:sz w:val="26"/>
                <w:szCs w:val="26"/>
                <w:shd w:val="solid" w:color="FFFFFF" w:fill="auto"/>
                <w:lang w:val="vi-VN"/>
              </w:rPr>
              <w:t>thực hiện</w:t>
            </w:r>
          </w:p>
        </w:tc>
      </w:tr>
      <w:tr w:rsidR="00E10F41" w:rsidRPr="000D7F38" w14:paraId="47CB9C00" w14:textId="77777777" w:rsidTr="008D6186">
        <w:tc>
          <w:tcPr>
            <w:tcW w:w="625" w:type="pct"/>
            <w:gridSpan w:val="2"/>
            <w:shd w:val="clear" w:color="auto" w:fill="auto"/>
            <w:tcMar>
              <w:top w:w="0" w:type="dxa"/>
              <w:left w:w="0" w:type="dxa"/>
              <w:bottom w:w="0" w:type="dxa"/>
              <w:right w:w="0" w:type="dxa"/>
            </w:tcMar>
          </w:tcPr>
          <w:p w14:paraId="5EB3A4AD" w14:textId="77777777" w:rsidR="00E10F41" w:rsidRPr="00FF310F" w:rsidRDefault="00E10F41" w:rsidP="008D6186">
            <w:pPr>
              <w:spacing w:before="60" w:after="60"/>
              <w:rPr>
                <w:color w:val="FF0000"/>
                <w:sz w:val="26"/>
                <w:szCs w:val="26"/>
              </w:rPr>
            </w:pPr>
            <w:r w:rsidRPr="00FF310F">
              <w:rPr>
                <w:color w:val="FF0000"/>
                <w:sz w:val="26"/>
                <w:szCs w:val="26"/>
                <w:lang w:val="vi-VN"/>
              </w:rPr>
              <w:t> </w:t>
            </w:r>
          </w:p>
        </w:tc>
        <w:tc>
          <w:tcPr>
            <w:tcW w:w="4375" w:type="pct"/>
            <w:shd w:val="clear" w:color="auto" w:fill="auto"/>
            <w:tcMar>
              <w:top w:w="0" w:type="dxa"/>
              <w:left w:w="0" w:type="dxa"/>
              <w:bottom w:w="0" w:type="dxa"/>
              <w:right w:w="0" w:type="dxa"/>
            </w:tcMar>
          </w:tcPr>
          <w:p w14:paraId="2CC17A88" w14:textId="77777777" w:rsidR="00E10F41" w:rsidRPr="00324BB7" w:rsidRDefault="00E10F41" w:rsidP="008D6186">
            <w:pPr>
              <w:spacing w:before="60" w:after="60"/>
              <w:ind w:left="71" w:right="142"/>
              <w:jc w:val="both"/>
              <w:rPr>
                <w:sz w:val="26"/>
                <w:szCs w:val="26"/>
                <w:lang w:val="vi-VN"/>
              </w:rPr>
            </w:pPr>
            <w:r w:rsidRPr="00324BB7">
              <w:rPr>
                <w:b/>
                <w:bCs/>
                <w:i/>
                <w:iCs/>
                <w:sz w:val="26"/>
                <w:szCs w:val="26"/>
                <w:lang w:val="vi-VN"/>
              </w:rPr>
              <w:t>B</w:t>
            </w:r>
            <w:r w:rsidRPr="00324BB7">
              <w:rPr>
                <w:b/>
                <w:bCs/>
                <w:i/>
                <w:iCs/>
                <w:sz w:val="26"/>
                <w:szCs w:val="26"/>
                <w:shd w:val="solid" w:color="FFFFFF" w:fill="auto"/>
                <w:lang w:val="vi-VN"/>
              </w:rPr>
              <w:t>ướ</w:t>
            </w:r>
            <w:r w:rsidRPr="00324BB7">
              <w:rPr>
                <w:b/>
                <w:bCs/>
                <w:i/>
                <w:iCs/>
                <w:sz w:val="26"/>
                <w:szCs w:val="26"/>
                <w:lang w:val="vi-VN"/>
              </w:rPr>
              <w:t xml:space="preserve">c </w:t>
            </w:r>
            <w:r w:rsidRPr="00324BB7">
              <w:rPr>
                <w:b/>
                <w:bCs/>
                <w:i/>
                <w:iCs/>
                <w:sz w:val="26"/>
                <w:szCs w:val="26"/>
              </w:rPr>
              <w:t>1</w:t>
            </w:r>
            <w:r w:rsidRPr="00324BB7">
              <w:rPr>
                <w:b/>
                <w:bCs/>
                <w:i/>
                <w:iCs/>
                <w:sz w:val="26"/>
                <w:szCs w:val="26"/>
                <w:lang w:val="vi-VN"/>
              </w:rPr>
              <w:t>:</w:t>
            </w:r>
            <w:r w:rsidRPr="00324BB7">
              <w:rPr>
                <w:sz w:val="26"/>
                <w:szCs w:val="26"/>
                <w:lang w:val="vi-VN"/>
              </w:rPr>
              <w:t xml:space="preserve"> </w:t>
            </w:r>
          </w:p>
          <w:p w14:paraId="15868CA6" w14:textId="27FD1714" w:rsidR="00E10F41" w:rsidRPr="00324BB7" w:rsidRDefault="00E10F41" w:rsidP="008D6186">
            <w:pPr>
              <w:spacing w:before="120"/>
              <w:jc w:val="both"/>
              <w:rPr>
                <w:sz w:val="26"/>
                <w:szCs w:val="26"/>
              </w:rPr>
            </w:pPr>
            <w:r w:rsidRPr="00324BB7">
              <w:rPr>
                <w:sz w:val="26"/>
                <w:szCs w:val="26"/>
                <w:lang w:val="vi-VN"/>
              </w:rPr>
              <w:t xml:space="preserve">Cơ sở nhận </w:t>
            </w:r>
            <w:r w:rsidRPr="00324BB7">
              <w:rPr>
                <w:bCs/>
                <w:sz w:val="26"/>
                <w:szCs w:val="26"/>
                <w:lang w:val="vi-VN"/>
              </w:rPr>
              <w:t xml:space="preserve">thử </w:t>
            </w:r>
            <w:r w:rsidRPr="00324BB7">
              <w:rPr>
                <w:sz w:val="26"/>
                <w:szCs w:val="26"/>
                <w:lang w:val="vi-VN"/>
              </w:rPr>
              <w:t xml:space="preserve">nộp 01 bộ hồ sơ </w:t>
            </w:r>
            <w:r w:rsidR="006375E4" w:rsidRPr="00324BB7">
              <w:rPr>
                <w:sz w:val="26"/>
                <w:szCs w:val="26"/>
                <w:lang w:val="vi-VN"/>
              </w:rPr>
              <w:t>đề nghị đánh giá đáp ứng GCP</w:t>
            </w:r>
            <w:r w:rsidR="001B1137" w:rsidRPr="00324BB7">
              <w:rPr>
                <w:sz w:val="26"/>
                <w:szCs w:val="26"/>
              </w:rPr>
              <w:t xml:space="preserve"> theo quy định tại </w:t>
            </w:r>
            <w:bookmarkStart w:id="1" w:name="tc_20"/>
            <w:r w:rsidR="001B1137" w:rsidRPr="00324BB7">
              <w:rPr>
                <w:sz w:val="26"/>
                <w:szCs w:val="26"/>
              </w:rPr>
              <w:t>Điều 20 Thông tư</w:t>
            </w:r>
            <w:bookmarkEnd w:id="1"/>
            <w:r w:rsidR="006375E4" w:rsidRPr="00324BB7">
              <w:rPr>
                <w:sz w:val="26"/>
                <w:szCs w:val="26"/>
                <w:lang w:val="vi-VN"/>
              </w:rPr>
              <w:t xml:space="preserve"> </w:t>
            </w:r>
            <w:r w:rsidR="001B1137" w:rsidRPr="00324BB7">
              <w:rPr>
                <w:sz w:val="26"/>
                <w:szCs w:val="26"/>
              </w:rPr>
              <w:t>số 32/2023/TT-BYT</w:t>
            </w:r>
            <w:r w:rsidR="001B1137" w:rsidRPr="00324BB7">
              <w:rPr>
                <w:sz w:val="26"/>
                <w:szCs w:val="26"/>
                <w:lang w:val="vi-VN"/>
              </w:rPr>
              <w:t xml:space="preserve"> </w:t>
            </w:r>
            <w:r w:rsidR="001B1137" w:rsidRPr="00324BB7">
              <w:rPr>
                <w:sz w:val="26"/>
                <w:szCs w:val="26"/>
              </w:rPr>
              <w:t>kèm theo</w:t>
            </w:r>
            <w:r w:rsidR="006375E4" w:rsidRPr="00324BB7">
              <w:rPr>
                <w:sz w:val="26"/>
                <w:szCs w:val="26"/>
                <w:lang w:val="vi-VN"/>
              </w:rPr>
              <w:t xml:space="preserve"> báo cáo thay đổi theo mẫu số 0</w:t>
            </w:r>
            <w:r w:rsidR="001B1137" w:rsidRPr="00324BB7">
              <w:rPr>
                <w:sz w:val="26"/>
                <w:szCs w:val="26"/>
              </w:rPr>
              <w:t>5</w:t>
            </w:r>
            <w:r w:rsidR="006375E4" w:rsidRPr="00324BB7">
              <w:rPr>
                <w:sz w:val="26"/>
                <w:szCs w:val="26"/>
                <w:lang w:val="vi-VN"/>
              </w:rPr>
              <w:t xml:space="preserve"> Phụ lục số XXIII </w:t>
            </w:r>
            <w:r w:rsidRPr="00324BB7">
              <w:rPr>
                <w:sz w:val="26"/>
                <w:szCs w:val="26"/>
                <w:lang w:val="vi-VN"/>
              </w:rPr>
              <w:t xml:space="preserve">Thông tư </w:t>
            </w:r>
            <w:r w:rsidRPr="00324BB7">
              <w:rPr>
                <w:sz w:val="26"/>
                <w:szCs w:val="26"/>
              </w:rPr>
              <w:t>số 32/2023/TT-BYT</w:t>
            </w:r>
            <w:r w:rsidRPr="00324BB7">
              <w:rPr>
                <w:sz w:val="26"/>
                <w:szCs w:val="26"/>
                <w:lang w:val="vi-VN"/>
              </w:rPr>
              <w:t xml:space="preserve"> đến Bộ Y tế (Cục Khoa học công nghệ và Đào tạo)</w:t>
            </w:r>
            <w:r w:rsidRPr="00324BB7">
              <w:rPr>
                <w:sz w:val="26"/>
                <w:szCs w:val="26"/>
              </w:rPr>
              <w:t>.</w:t>
            </w:r>
          </w:p>
          <w:p w14:paraId="65CE7C97" w14:textId="77777777" w:rsidR="00E10F41" w:rsidRPr="00324BB7" w:rsidRDefault="00E10F41" w:rsidP="008D6186">
            <w:pPr>
              <w:spacing w:before="60" w:after="60"/>
              <w:ind w:left="71" w:right="142"/>
              <w:jc w:val="both"/>
              <w:rPr>
                <w:sz w:val="26"/>
                <w:szCs w:val="26"/>
                <w:lang w:val="vi-VN"/>
              </w:rPr>
            </w:pPr>
            <w:r w:rsidRPr="00324BB7">
              <w:rPr>
                <w:b/>
                <w:bCs/>
                <w:i/>
                <w:iCs/>
                <w:sz w:val="26"/>
                <w:szCs w:val="26"/>
                <w:lang w:val="vi-VN"/>
              </w:rPr>
              <w:t>Bước 2:</w:t>
            </w:r>
            <w:r w:rsidRPr="00324BB7">
              <w:rPr>
                <w:sz w:val="26"/>
                <w:szCs w:val="26"/>
                <w:lang w:val="vi-VN"/>
              </w:rPr>
              <w:t xml:space="preserve"> </w:t>
            </w:r>
          </w:p>
          <w:p w14:paraId="3D8EA737" w14:textId="336B2439" w:rsidR="00E10F41" w:rsidRPr="00324BB7" w:rsidRDefault="00E10F41" w:rsidP="008D6186">
            <w:pPr>
              <w:spacing w:before="120"/>
              <w:jc w:val="both"/>
              <w:rPr>
                <w:sz w:val="26"/>
                <w:szCs w:val="26"/>
                <w:lang w:val="vi-VN"/>
              </w:rPr>
            </w:pPr>
            <w:r w:rsidRPr="00324BB7">
              <w:rPr>
                <w:iCs/>
                <w:sz w:val="26"/>
                <w:szCs w:val="26"/>
              </w:rPr>
              <w:t xml:space="preserve"> </w:t>
            </w:r>
            <w:r w:rsidRPr="00324BB7">
              <w:rPr>
                <w:sz w:val="26"/>
                <w:szCs w:val="26"/>
                <w:lang w:val="vi-VN"/>
              </w:rPr>
              <w:t xml:space="preserve">Trong thời hạn 10 ngày làm việc kể từ ngày nhận được hồ sơ, Cục Khoa học công nghệ và Đào tạo kiểm tra tính đầy đủ, hợp lệ của hồ sơ. </w:t>
            </w:r>
            <w:r w:rsidR="006375E4" w:rsidRPr="00324BB7">
              <w:rPr>
                <w:sz w:val="26"/>
                <w:szCs w:val="26"/>
              </w:rPr>
              <w:t xml:space="preserve">Trong trường hợp </w:t>
            </w:r>
            <w:r w:rsidRPr="00324BB7">
              <w:rPr>
                <w:sz w:val="26"/>
                <w:szCs w:val="26"/>
                <w:lang w:val="vi-VN"/>
              </w:rPr>
              <w:t>hồ sơ đầy đủ, hợp lệ</w:t>
            </w:r>
            <w:r w:rsidR="006375E4" w:rsidRPr="00324BB7">
              <w:rPr>
                <w:sz w:val="26"/>
                <w:szCs w:val="26"/>
              </w:rPr>
              <w:t xml:space="preserve"> và cần tổ chức Đoàn đánh giá</w:t>
            </w:r>
            <w:r w:rsidRPr="00324BB7">
              <w:rPr>
                <w:sz w:val="26"/>
                <w:szCs w:val="26"/>
                <w:lang w:val="vi-VN"/>
              </w:rPr>
              <w:t xml:space="preserve">, Cục Khoa học công nghệ và Đào tạo tổ chức Đoàn đánh giá theo quy định tại Điều 28 Thông tư </w:t>
            </w:r>
            <w:r w:rsidRPr="00324BB7">
              <w:rPr>
                <w:sz w:val="26"/>
                <w:szCs w:val="26"/>
              </w:rPr>
              <w:t>số 32/2023/TT-BYT</w:t>
            </w:r>
            <w:r w:rsidRPr="00324BB7">
              <w:rPr>
                <w:sz w:val="26"/>
                <w:szCs w:val="26"/>
                <w:lang w:val="vi-VN"/>
              </w:rPr>
              <w:t xml:space="preserve"> để tiến hành đánh giá thực tế tại cơ sở nhận thử trong thời hạn 15 ngày làm việc. Trường hợp hồ sơ chưa đầy đủ, hợp lệ, Cục Khoa học công nghệ và Đào tạo có văn bản thông báo cho cơ sở nhận thử.</w:t>
            </w:r>
          </w:p>
          <w:p w14:paraId="24B1B436" w14:textId="77777777" w:rsidR="00E10F41" w:rsidRPr="00324BB7" w:rsidRDefault="00E10F41" w:rsidP="008D6186">
            <w:pPr>
              <w:spacing w:before="60" w:after="60"/>
              <w:ind w:left="71" w:right="142"/>
              <w:jc w:val="both"/>
              <w:rPr>
                <w:sz w:val="26"/>
                <w:szCs w:val="26"/>
                <w:lang w:val="vi-VN"/>
              </w:rPr>
            </w:pPr>
            <w:r w:rsidRPr="00324BB7">
              <w:rPr>
                <w:b/>
                <w:bCs/>
                <w:i/>
                <w:iCs/>
                <w:sz w:val="26"/>
                <w:szCs w:val="26"/>
                <w:lang w:val="vi-VN"/>
              </w:rPr>
              <w:t>Bước 3:</w:t>
            </w:r>
            <w:r w:rsidRPr="00324BB7">
              <w:rPr>
                <w:sz w:val="26"/>
                <w:szCs w:val="26"/>
                <w:lang w:val="vi-VN"/>
              </w:rPr>
              <w:t xml:space="preserve"> </w:t>
            </w:r>
          </w:p>
          <w:p w14:paraId="505B3D2E" w14:textId="77777777" w:rsidR="00E10F41" w:rsidRPr="00324BB7" w:rsidRDefault="00E10F41" w:rsidP="008D6186">
            <w:pPr>
              <w:spacing w:before="60" w:after="60"/>
              <w:ind w:left="71" w:right="142"/>
              <w:jc w:val="both"/>
              <w:rPr>
                <w:sz w:val="26"/>
                <w:szCs w:val="26"/>
                <w:lang w:val="vi-VN"/>
              </w:rPr>
            </w:pPr>
            <w:r w:rsidRPr="00324BB7">
              <w:rPr>
                <w:sz w:val="26"/>
                <w:szCs w:val="26"/>
                <w:lang w:val="vi-VN"/>
              </w:rPr>
              <w:t xml:space="preserve">Đoàn đánh giá tiến hành đánh giá thực tế việc triển khai áp dụng GCP tại cơ sở nhận </w:t>
            </w:r>
            <w:r w:rsidRPr="00324BB7">
              <w:rPr>
                <w:bCs/>
                <w:sz w:val="26"/>
                <w:szCs w:val="26"/>
                <w:lang w:val="vi-VN"/>
              </w:rPr>
              <w:t xml:space="preserve">thử </w:t>
            </w:r>
            <w:r w:rsidRPr="00324BB7">
              <w:rPr>
                <w:sz w:val="26"/>
                <w:szCs w:val="26"/>
                <w:lang w:val="vi-VN"/>
              </w:rPr>
              <w:t xml:space="preserve">theo các tiêu chuẩn GCP quy định tại Phụ lục số XXI ban hành kèm theo Thông tư </w:t>
            </w:r>
            <w:r w:rsidRPr="00324BB7">
              <w:rPr>
                <w:sz w:val="26"/>
                <w:szCs w:val="26"/>
              </w:rPr>
              <w:t>số 32/2023/TT-BYT</w:t>
            </w:r>
            <w:r w:rsidRPr="00324BB7">
              <w:rPr>
                <w:sz w:val="26"/>
                <w:szCs w:val="26"/>
                <w:lang w:val="vi-VN"/>
              </w:rPr>
              <w:t>.</w:t>
            </w:r>
          </w:p>
          <w:p w14:paraId="5746E514" w14:textId="77777777" w:rsidR="00E10F41" w:rsidRPr="00324BB7" w:rsidRDefault="00E10F41" w:rsidP="008D6186">
            <w:pPr>
              <w:spacing w:before="60" w:after="60"/>
              <w:ind w:left="71" w:right="142"/>
              <w:jc w:val="both"/>
              <w:rPr>
                <w:b/>
                <w:sz w:val="26"/>
                <w:szCs w:val="26"/>
                <w:lang w:val="vi-VN"/>
              </w:rPr>
            </w:pPr>
            <w:r w:rsidRPr="00324BB7">
              <w:rPr>
                <w:b/>
                <w:bCs/>
                <w:i/>
                <w:iCs/>
                <w:sz w:val="26"/>
                <w:szCs w:val="26"/>
                <w:lang w:val="vi-VN"/>
              </w:rPr>
              <w:t>Bước 4:</w:t>
            </w:r>
            <w:r w:rsidRPr="00324BB7">
              <w:rPr>
                <w:b/>
                <w:sz w:val="26"/>
                <w:szCs w:val="26"/>
                <w:lang w:val="vi-VN"/>
              </w:rPr>
              <w:t xml:space="preserve"> </w:t>
            </w:r>
          </w:p>
          <w:p w14:paraId="55CF0229" w14:textId="77777777" w:rsidR="00E10F41" w:rsidRPr="00324BB7" w:rsidRDefault="00E10F41" w:rsidP="008D6186">
            <w:pPr>
              <w:spacing w:before="60" w:after="60"/>
              <w:ind w:left="71" w:right="142"/>
              <w:jc w:val="both"/>
              <w:rPr>
                <w:sz w:val="26"/>
                <w:szCs w:val="26"/>
              </w:rPr>
            </w:pPr>
            <w:r w:rsidRPr="00324BB7">
              <w:rPr>
                <w:sz w:val="26"/>
                <w:szCs w:val="26"/>
                <w:lang w:val="vi-VN"/>
              </w:rPr>
              <w:t xml:space="preserve">Trên cơ sở kết quả đánh giá thực tế tại cơ sở nhận thử, Đoàn đánh giá trao đổi với cơ sở nhận thử về các nội dung đánh giá đáp ứng GCP và có biên bản đánh giá theo mẫu số 02 Phụ lục số XXIII ban hành kèm theo Thông tư </w:t>
            </w:r>
            <w:r w:rsidRPr="00324BB7">
              <w:rPr>
                <w:sz w:val="26"/>
                <w:szCs w:val="26"/>
              </w:rPr>
              <w:t>số 32/2023/TT-BYT</w:t>
            </w:r>
            <w:r w:rsidRPr="00324BB7">
              <w:rPr>
                <w:sz w:val="26"/>
                <w:szCs w:val="26"/>
                <w:lang w:val="vi-VN"/>
              </w:rPr>
              <w:t xml:space="preserve">, trong đó xác định mức độ đáp ứng GCP của cơ sở nhận thử theo quy định tại Điều 19 Thông tư </w:t>
            </w:r>
            <w:r w:rsidRPr="00324BB7">
              <w:rPr>
                <w:sz w:val="26"/>
                <w:szCs w:val="26"/>
              </w:rPr>
              <w:t>số 32/2023/TT-BYT</w:t>
            </w:r>
            <w:r w:rsidRPr="00324BB7">
              <w:rPr>
                <w:sz w:val="26"/>
                <w:szCs w:val="26"/>
                <w:lang w:val="vi-VN"/>
              </w:rPr>
              <w:t>.</w:t>
            </w:r>
          </w:p>
          <w:p w14:paraId="0192CD31" w14:textId="77777777" w:rsidR="00E10F41" w:rsidRPr="00324BB7" w:rsidRDefault="00E10F41" w:rsidP="008D6186">
            <w:pPr>
              <w:spacing w:before="60" w:after="60"/>
              <w:ind w:left="71" w:right="142"/>
              <w:jc w:val="both"/>
              <w:rPr>
                <w:b/>
                <w:i/>
                <w:sz w:val="26"/>
                <w:szCs w:val="26"/>
              </w:rPr>
            </w:pPr>
            <w:r w:rsidRPr="00324BB7">
              <w:rPr>
                <w:b/>
                <w:i/>
                <w:sz w:val="26"/>
                <w:szCs w:val="26"/>
              </w:rPr>
              <w:t xml:space="preserve">Bước 5: </w:t>
            </w:r>
          </w:p>
          <w:p w14:paraId="77D692A9" w14:textId="77777777" w:rsidR="00E10F41" w:rsidRPr="00324BB7" w:rsidRDefault="00E10F41" w:rsidP="008D6186">
            <w:pPr>
              <w:spacing w:before="60" w:after="60"/>
              <w:ind w:left="71" w:right="142"/>
              <w:jc w:val="both"/>
              <w:rPr>
                <w:sz w:val="26"/>
                <w:szCs w:val="26"/>
              </w:rPr>
            </w:pPr>
            <w:r w:rsidRPr="00324BB7">
              <w:rPr>
                <w:sz w:val="26"/>
                <w:szCs w:val="26"/>
              </w:rPr>
              <w:t>- Trường hợp Biên bản đánh giá việc đáp ứng GCP kết luận cơ sở nhận thử nghiệm lâm sàng kỹ thuật mới, phương pháp mới hoặc thiết bị y tế đáp ứng GCP theo quy định tại khoản 1 Điều 19 Thông tư số 32/2023/TT-BYT thì trong thời hạn 10 ngày làm việc, kể từ ngày ký biên bản đánh giá, Bộ trưởng Bộ Y tế giao Cục Khoa học công nghệ và Đào tạo thực hiện cấp Giấy chứng nhận đạt GCP theo Mẫu số 03 quy định tại Phụ lục số XXIII ban hành kèm theo Thông tư số 32/2023/TT-BYT.</w:t>
            </w:r>
          </w:p>
          <w:p w14:paraId="7DC550A2" w14:textId="77777777" w:rsidR="00E10F41" w:rsidRPr="00324BB7" w:rsidRDefault="00E10F41" w:rsidP="008D6186">
            <w:pPr>
              <w:spacing w:before="60" w:after="60"/>
              <w:ind w:left="71" w:right="142"/>
              <w:jc w:val="both"/>
              <w:rPr>
                <w:sz w:val="26"/>
                <w:szCs w:val="26"/>
              </w:rPr>
            </w:pPr>
            <w:r w:rsidRPr="00324BB7">
              <w:rPr>
                <w:sz w:val="26"/>
                <w:szCs w:val="26"/>
              </w:rPr>
              <w:t>- Trường hợp Biên bản đánh giá việc đáp ứng GCP kết luận cơ sở nhận thử nghiệm lâm sàng kỹ thuật mới, phương pháp mới hoặc thiết bị y tế không đáp ứng GCP theo quy định khoản 3 Điều 19 Thông tư số 32/2023/TT-BYT: Trong thời hạn 05 ngày làm việc, kể từ ngày kết thúc việc đánh giá thực tế tại cơ sở nhận thử nghiệm lâm sàng kỹ thuật mới, phương pháp mới hoặc thiết bị y tế và ký biên bản đánh giá, Cục Khoa học công nghệ và Đào tạo ban hành văn bản thông báo về việc không đáp ứng GCP gửi kèm theo Biên bản đánh giá GCP cho cơ sở nhận thử nghiệm lâm sàng kỹ thuật mới, phương pháp mới hoặc thiết bị y tế và không cấp giấy chứng nhận đạt GCP.</w:t>
            </w:r>
          </w:p>
          <w:p w14:paraId="15B34A2B" w14:textId="77777777" w:rsidR="00E10F41" w:rsidRPr="00324BB7" w:rsidRDefault="00E10F41" w:rsidP="008D6186">
            <w:pPr>
              <w:spacing w:before="60" w:after="60"/>
              <w:ind w:left="71" w:right="142"/>
              <w:jc w:val="both"/>
              <w:rPr>
                <w:b/>
                <w:i/>
                <w:sz w:val="26"/>
                <w:szCs w:val="26"/>
              </w:rPr>
            </w:pPr>
            <w:r w:rsidRPr="00324BB7">
              <w:rPr>
                <w:b/>
                <w:i/>
                <w:sz w:val="26"/>
                <w:szCs w:val="26"/>
              </w:rPr>
              <w:t xml:space="preserve">Bước 6: </w:t>
            </w:r>
          </w:p>
          <w:p w14:paraId="1A311C14" w14:textId="77777777" w:rsidR="00E10F41" w:rsidRPr="00324BB7" w:rsidRDefault="00E10F41" w:rsidP="008D6186">
            <w:pPr>
              <w:spacing w:before="60" w:after="60"/>
              <w:ind w:left="71" w:right="142"/>
              <w:jc w:val="both"/>
              <w:rPr>
                <w:sz w:val="26"/>
                <w:szCs w:val="26"/>
              </w:rPr>
            </w:pPr>
            <w:r w:rsidRPr="00324BB7">
              <w:rPr>
                <w:sz w:val="26"/>
                <w:szCs w:val="26"/>
              </w:rPr>
              <w:t>Trường hợp Biên bản đánh giá việc đáp ứng GCP kết luận cơ sở nhận thử nghiệm lâm sàng kỹ thuật mới, phương pháp mới hoặc thiết bị y tế cần khắc phục, sửa chữa theo quy định tại khoản 2 Điều 19 Thông tư số 32/2023/TT-BYT:</w:t>
            </w:r>
          </w:p>
          <w:p w14:paraId="690EF78A" w14:textId="77777777" w:rsidR="00E10F41" w:rsidRPr="00324BB7" w:rsidRDefault="00E10F41" w:rsidP="008D6186">
            <w:pPr>
              <w:spacing w:before="60" w:after="60"/>
              <w:ind w:left="71" w:right="142"/>
              <w:jc w:val="both"/>
              <w:rPr>
                <w:sz w:val="26"/>
                <w:szCs w:val="26"/>
              </w:rPr>
            </w:pPr>
            <w:r w:rsidRPr="00324BB7">
              <w:rPr>
                <w:sz w:val="26"/>
                <w:szCs w:val="26"/>
              </w:rPr>
              <w:t>- Trong thời hạn 05 ngày làm việc, kể từ ngày kết thúc việc đánh giá thực tế tại cơ sở nhận thử nghiệm lâm sàng kỹ thuật mới, phương pháp mới hoặc thiết bị y tế và ký biên bản đánh giá, Cục Khoa học công nghệ và Đào tạo gửi Biên bản đánh giá việc đáp ứng GCP kèm theo văn bản thông báo về các nội dung cần khắc phục, sửa chữa cho cơ sở nhận thử nghiệm lâm sàng kỹ thuật mới, phương pháp mới hoặc thiết bị y tế;</w:t>
            </w:r>
          </w:p>
          <w:p w14:paraId="7E3B65E3" w14:textId="77777777" w:rsidR="00E10F41" w:rsidRPr="00324BB7" w:rsidRDefault="00E10F41" w:rsidP="008D6186">
            <w:pPr>
              <w:spacing w:before="60" w:after="60"/>
              <w:ind w:left="71" w:right="142"/>
              <w:jc w:val="both"/>
              <w:rPr>
                <w:sz w:val="26"/>
                <w:szCs w:val="26"/>
              </w:rPr>
            </w:pPr>
            <w:r w:rsidRPr="00324BB7">
              <w:rPr>
                <w:sz w:val="26"/>
                <w:szCs w:val="26"/>
              </w:rPr>
              <w:t>- Sau khi hoàn thành việc khắc phục, sửa chữa, cơ sở nhận thử nghiệm lâm sàng kỹ thuật mới, phương pháp mới hoặc thiết bị y tế phải có văn bản báo cáo kèm theo bằng chứng (hồ sơ tài liệu, hình ảnh, video, giấy chứng nhận) chứng minh đã hoàn thành việc khắc phục, sửa chữa các nội dung được ghi trong Biên bản đánh giá;</w:t>
            </w:r>
          </w:p>
          <w:p w14:paraId="47C09FDD" w14:textId="77777777" w:rsidR="00E10F41" w:rsidRPr="00324BB7" w:rsidRDefault="00E10F41" w:rsidP="008D6186">
            <w:pPr>
              <w:spacing w:before="60" w:after="60"/>
              <w:ind w:left="71" w:right="142"/>
              <w:jc w:val="both"/>
              <w:rPr>
                <w:sz w:val="26"/>
                <w:szCs w:val="26"/>
              </w:rPr>
            </w:pPr>
            <w:r w:rsidRPr="00324BB7">
              <w:rPr>
                <w:sz w:val="26"/>
                <w:szCs w:val="26"/>
              </w:rPr>
              <w:t>- Trong thời hạn 20 ngày, kể từ ngày nhận được báo cáo khắc phục, sửa chữa của cơ sở nhận thử nghiệm lâm sàng kỹ thuật mới, phương pháp mới hoặc thiết bị y tế, Cục Khoa học công nghệ và Đào tạo xem xét báo cáo khắc phục của cơ sở nhận thử nghiệm lâm sàng kỹ thuật mới, phương pháp mới hoặc thiết bị y tế và kết luận về tình trạng đáp ứng GCP của cơ sở nhận thử nghiệm lâm sàng kỹ thuật mới, phương pháp mới hoặc thiết bị y tế:</w:t>
            </w:r>
          </w:p>
          <w:p w14:paraId="43C1B86D" w14:textId="77777777" w:rsidR="00E10F41" w:rsidRPr="00324BB7" w:rsidRDefault="00E10F41" w:rsidP="008D6186">
            <w:pPr>
              <w:spacing w:before="60" w:after="60"/>
              <w:ind w:left="71" w:right="142"/>
              <w:jc w:val="both"/>
              <w:rPr>
                <w:sz w:val="26"/>
                <w:szCs w:val="26"/>
              </w:rPr>
            </w:pPr>
            <w:r w:rsidRPr="00324BB7">
              <w:rPr>
                <w:sz w:val="26"/>
                <w:szCs w:val="26"/>
              </w:rPr>
              <w:t>+ Trường hợp việc khắc phục, sửa chữa của cơ sở nhận thử nghiệm lâm sàng kỹ thuật mới, phương pháp mới hoặc thiết bị y tế đã đáp ứng yêu cầu: Cục Khoa học công nghệ và Đào tạo thực hiện theo quy định tại khoản 1 Điều Điều 23 Thông tư số 32/2023/TT-BYT .</w:t>
            </w:r>
          </w:p>
          <w:p w14:paraId="79CD10F3" w14:textId="77777777" w:rsidR="00E10F41" w:rsidRPr="00324BB7" w:rsidRDefault="00E10F41" w:rsidP="008D6186">
            <w:pPr>
              <w:spacing w:before="60" w:after="60"/>
              <w:ind w:left="71" w:right="142"/>
              <w:jc w:val="both"/>
              <w:rPr>
                <w:sz w:val="26"/>
                <w:szCs w:val="26"/>
              </w:rPr>
            </w:pPr>
            <w:r w:rsidRPr="00324BB7">
              <w:rPr>
                <w:sz w:val="26"/>
                <w:szCs w:val="26"/>
              </w:rPr>
              <w:t>+ Trường hợp việc khắc phục, sửa chữa của cơ sở nhận thử nghiệm lâm sàng kỹ thuật mới, phương pháp mới hoặc thiết bị y tế chưa đáp ứng yêu cầu: Cục Khoa học công nghệ và Đào tạo có văn bản yêu cầu tiếp tục khắc phục, sửa chữa, bổ sung cho đến khi đạt yêu cầu.</w:t>
            </w:r>
          </w:p>
          <w:p w14:paraId="4B1034EF" w14:textId="77777777" w:rsidR="00E10F41" w:rsidRPr="00324BB7" w:rsidRDefault="00E10F41" w:rsidP="008D6186">
            <w:pPr>
              <w:spacing w:before="60" w:after="60"/>
              <w:ind w:left="71" w:right="142"/>
              <w:jc w:val="both"/>
              <w:rPr>
                <w:sz w:val="26"/>
                <w:szCs w:val="26"/>
              </w:rPr>
            </w:pPr>
            <w:r w:rsidRPr="00324BB7">
              <w:rPr>
                <w:sz w:val="26"/>
                <w:szCs w:val="26"/>
              </w:rPr>
              <w:t>- Trong thời hạn 06 tháng, kể từ ngày Cục Khoa học công nghệ và Đào tạo có văn bản yêu cầu khắc phục, sửa chữa mà cơ sở nhận thử không nộp báo cáo khắc phục, sửa chữa theo yêu cầu thì hồ sơ đã nộp không còn giá trị và việc đánh giá đáp ứng GCP phải thực hiện lại từ đầu.</w:t>
            </w:r>
          </w:p>
        </w:tc>
      </w:tr>
      <w:tr w:rsidR="00E10F41" w:rsidRPr="000D7F38" w14:paraId="6CC6B2E3" w14:textId="77777777" w:rsidTr="008D6186">
        <w:tc>
          <w:tcPr>
            <w:tcW w:w="5000" w:type="pct"/>
            <w:gridSpan w:val="3"/>
            <w:shd w:val="clear" w:color="auto" w:fill="auto"/>
            <w:tcMar>
              <w:top w:w="0" w:type="dxa"/>
              <w:left w:w="0" w:type="dxa"/>
              <w:bottom w:w="0" w:type="dxa"/>
              <w:right w:w="0" w:type="dxa"/>
            </w:tcMar>
          </w:tcPr>
          <w:p w14:paraId="692C8A68" w14:textId="77777777" w:rsidR="00E10F41" w:rsidRPr="00324BB7" w:rsidRDefault="00E10F41" w:rsidP="008D6186">
            <w:pPr>
              <w:spacing w:before="60" w:after="60"/>
              <w:ind w:left="71" w:right="142"/>
              <w:rPr>
                <w:sz w:val="26"/>
                <w:szCs w:val="26"/>
              </w:rPr>
            </w:pPr>
            <w:r w:rsidRPr="00324BB7">
              <w:rPr>
                <w:b/>
                <w:bCs/>
                <w:sz w:val="26"/>
                <w:szCs w:val="26"/>
                <w:lang w:val="vi-VN"/>
              </w:rPr>
              <w:t xml:space="preserve"> Cách thức </w:t>
            </w:r>
            <w:r w:rsidRPr="00324BB7">
              <w:rPr>
                <w:b/>
                <w:bCs/>
                <w:sz w:val="26"/>
                <w:szCs w:val="26"/>
                <w:shd w:val="solid" w:color="FFFFFF" w:fill="auto"/>
                <w:lang w:val="vi-VN"/>
              </w:rPr>
              <w:t>thực hiện</w:t>
            </w:r>
          </w:p>
        </w:tc>
      </w:tr>
      <w:tr w:rsidR="00E10F41" w:rsidRPr="000D7F38" w14:paraId="55283411" w14:textId="77777777" w:rsidTr="008D6186">
        <w:tc>
          <w:tcPr>
            <w:tcW w:w="625" w:type="pct"/>
            <w:gridSpan w:val="2"/>
            <w:shd w:val="clear" w:color="auto" w:fill="auto"/>
            <w:tcMar>
              <w:top w:w="0" w:type="dxa"/>
              <w:left w:w="0" w:type="dxa"/>
              <w:bottom w:w="0" w:type="dxa"/>
              <w:right w:w="0" w:type="dxa"/>
            </w:tcMar>
          </w:tcPr>
          <w:p w14:paraId="1DC99904" w14:textId="77777777" w:rsidR="00E10F41" w:rsidRPr="00FF310F" w:rsidRDefault="00E10F41" w:rsidP="008D6186">
            <w:pPr>
              <w:spacing w:before="60" w:after="60"/>
              <w:rPr>
                <w:color w:val="FF0000"/>
                <w:sz w:val="26"/>
                <w:szCs w:val="26"/>
              </w:rPr>
            </w:pPr>
            <w:r w:rsidRPr="00FF310F">
              <w:rPr>
                <w:color w:val="FF0000"/>
                <w:sz w:val="26"/>
                <w:szCs w:val="26"/>
                <w:lang w:val="vi-VN"/>
              </w:rPr>
              <w:t> </w:t>
            </w:r>
          </w:p>
        </w:tc>
        <w:tc>
          <w:tcPr>
            <w:tcW w:w="4375" w:type="pct"/>
            <w:shd w:val="clear" w:color="auto" w:fill="auto"/>
            <w:tcMar>
              <w:top w:w="0" w:type="dxa"/>
              <w:left w:w="0" w:type="dxa"/>
              <w:bottom w:w="0" w:type="dxa"/>
              <w:right w:w="0" w:type="dxa"/>
            </w:tcMar>
          </w:tcPr>
          <w:p w14:paraId="59FFED51" w14:textId="6F4DB440" w:rsidR="00E10F41" w:rsidRPr="00324BB7" w:rsidRDefault="00E10F41" w:rsidP="008D6186">
            <w:pPr>
              <w:spacing w:before="60" w:after="60"/>
              <w:ind w:left="71" w:right="142"/>
              <w:jc w:val="both"/>
              <w:rPr>
                <w:i/>
                <w:iCs/>
                <w:sz w:val="26"/>
                <w:szCs w:val="26"/>
              </w:rPr>
            </w:pPr>
            <w:r w:rsidRPr="00324BB7">
              <w:rPr>
                <w:i/>
                <w:iCs/>
                <w:sz w:val="26"/>
                <w:szCs w:val="26"/>
              </w:rPr>
              <w:t>- Trực tiếp</w:t>
            </w:r>
          </w:p>
          <w:p w14:paraId="4A40257A" w14:textId="77777777" w:rsidR="00E10F41" w:rsidRPr="00324BB7" w:rsidRDefault="00E10F41" w:rsidP="008D6186">
            <w:pPr>
              <w:spacing w:before="60" w:after="60"/>
              <w:ind w:left="71" w:right="142"/>
              <w:jc w:val="both"/>
              <w:rPr>
                <w:i/>
                <w:iCs/>
                <w:sz w:val="26"/>
                <w:szCs w:val="26"/>
              </w:rPr>
            </w:pPr>
            <w:r w:rsidRPr="00324BB7">
              <w:rPr>
                <w:i/>
                <w:iCs/>
                <w:sz w:val="26"/>
                <w:szCs w:val="26"/>
              </w:rPr>
              <w:t>- Trực tuyến</w:t>
            </w:r>
          </w:p>
          <w:p w14:paraId="19EA8620" w14:textId="1308ED25" w:rsidR="00E10F41" w:rsidRPr="00324BB7" w:rsidRDefault="00E10F41" w:rsidP="008D6186">
            <w:pPr>
              <w:spacing w:before="60" w:after="60"/>
              <w:ind w:left="71" w:right="142"/>
              <w:jc w:val="both"/>
              <w:rPr>
                <w:i/>
                <w:iCs/>
                <w:sz w:val="26"/>
                <w:szCs w:val="26"/>
              </w:rPr>
            </w:pPr>
            <w:r w:rsidRPr="00324BB7">
              <w:rPr>
                <w:i/>
                <w:iCs/>
                <w:sz w:val="26"/>
                <w:szCs w:val="26"/>
              </w:rPr>
              <w:t>- Bưu chính công ích</w:t>
            </w:r>
          </w:p>
        </w:tc>
      </w:tr>
      <w:tr w:rsidR="00E10F41" w:rsidRPr="000D7F38" w14:paraId="13A6A01F" w14:textId="77777777" w:rsidTr="008D6186">
        <w:tc>
          <w:tcPr>
            <w:tcW w:w="5000" w:type="pct"/>
            <w:gridSpan w:val="3"/>
            <w:shd w:val="clear" w:color="auto" w:fill="auto"/>
            <w:tcMar>
              <w:top w:w="0" w:type="dxa"/>
              <w:left w:w="0" w:type="dxa"/>
              <w:bottom w:w="0" w:type="dxa"/>
              <w:right w:w="0" w:type="dxa"/>
            </w:tcMar>
          </w:tcPr>
          <w:p w14:paraId="02626418"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Thành phần, số l</w:t>
            </w:r>
            <w:r w:rsidRPr="00324BB7">
              <w:rPr>
                <w:b/>
                <w:bCs/>
                <w:sz w:val="26"/>
                <w:szCs w:val="26"/>
                <w:shd w:val="solid" w:color="FFFFFF" w:fill="auto"/>
                <w:lang w:val="vi-VN"/>
              </w:rPr>
              <w:t>ượ</w:t>
            </w:r>
            <w:r w:rsidRPr="00324BB7">
              <w:rPr>
                <w:b/>
                <w:bCs/>
                <w:sz w:val="26"/>
                <w:szCs w:val="26"/>
                <w:lang w:val="vi-VN"/>
              </w:rPr>
              <w:t>ng hồ sơ</w:t>
            </w:r>
          </w:p>
        </w:tc>
      </w:tr>
      <w:tr w:rsidR="00E10F41" w:rsidRPr="000D7F38" w14:paraId="06552376" w14:textId="77777777" w:rsidTr="008D6186">
        <w:tc>
          <w:tcPr>
            <w:tcW w:w="625" w:type="pct"/>
            <w:gridSpan w:val="2"/>
            <w:shd w:val="clear" w:color="auto" w:fill="auto"/>
            <w:tcMar>
              <w:top w:w="0" w:type="dxa"/>
              <w:left w:w="0" w:type="dxa"/>
              <w:bottom w:w="0" w:type="dxa"/>
              <w:right w:w="0" w:type="dxa"/>
            </w:tcMar>
          </w:tcPr>
          <w:p w14:paraId="7A598FF7" w14:textId="77777777" w:rsidR="00E10F41" w:rsidRPr="00FF310F" w:rsidRDefault="00E10F41" w:rsidP="008D6186">
            <w:pPr>
              <w:spacing w:before="60" w:after="60"/>
              <w:rPr>
                <w:color w:val="FF0000"/>
                <w:sz w:val="26"/>
                <w:szCs w:val="26"/>
                <w:lang w:val="vi-VN"/>
              </w:rPr>
            </w:pPr>
            <w:r w:rsidRPr="00FF310F">
              <w:rPr>
                <w:color w:val="FF0000"/>
                <w:sz w:val="26"/>
                <w:szCs w:val="26"/>
                <w:lang w:val="vi-VN"/>
              </w:rPr>
              <w:t> </w:t>
            </w:r>
          </w:p>
        </w:tc>
        <w:tc>
          <w:tcPr>
            <w:tcW w:w="4375" w:type="pct"/>
            <w:shd w:val="clear" w:color="auto" w:fill="auto"/>
            <w:tcMar>
              <w:top w:w="0" w:type="dxa"/>
              <w:left w:w="0" w:type="dxa"/>
              <w:bottom w:w="0" w:type="dxa"/>
              <w:right w:w="0" w:type="dxa"/>
            </w:tcMar>
          </w:tcPr>
          <w:p w14:paraId="58F4EB3E" w14:textId="77777777" w:rsidR="00E10F41" w:rsidRPr="00324BB7" w:rsidRDefault="00E10F41" w:rsidP="008D6186">
            <w:pPr>
              <w:spacing w:before="60" w:after="60"/>
              <w:ind w:left="71" w:right="142"/>
              <w:rPr>
                <w:sz w:val="26"/>
                <w:szCs w:val="26"/>
                <w:lang w:val="vi-VN"/>
              </w:rPr>
            </w:pPr>
            <w:r w:rsidRPr="00324BB7">
              <w:rPr>
                <w:b/>
                <w:bCs/>
                <w:i/>
                <w:iCs/>
                <w:sz w:val="26"/>
                <w:szCs w:val="26"/>
                <w:lang w:val="vi-VN"/>
              </w:rPr>
              <w:t>I. Thành phần hồ sơ bao gồm:</w:t>
            </w:r>
          </w:p>
          <w:p w14:paraId="56DD6F8B" w14:textId="17A40DD7" w:rsidR="003A71E3" w:rsidRPr="00324BB7" w:rsidRDefault="00E10F41" w:rsidP="008D6186">
            <w:pPr>
              <w:pStyle w:val="BodyText1"/>
              <w:shd w:val="clear" w:color="auto" w:fill="auto"/>
              <w:tabs>
                <w:tab w:val="left" w:pos="567"/>
              </w:tabs>
              <w:spacing w:before="120" w:after="120" w:line="340" w:lineRule="exact"/>
              <w:ind w:right="20"/>
              <w:rPr>
                <w:sz w:val="26"/>
                <w:szCs w:val="26"/>
              </w:rPr>
            </w:pPr>
            <w:r w:rsidRPr="00324BB7">
              <w:rPr>
                <w:sz w:val="26"/>
                <w:szCs w:val="26"/>
                <w:lang w:val="vi-VN"/>
              </w:rPr>
              <w:t xml:space="preserve">1. </w:t>
            </w:r>
            <w:r w:rsidR="00E500E3" w:rsidRPr="00324BB7">
              <w:rPr>
                <w:sz w:val="26"/>
                <w:szCs w:val="26"/>
                <w:lang w:val="vi-VN"/>
              </w:rPr>
              <w:t>Đơn đề nghị đánh giá đáp ứng GCP</w:t>
            </w:r>
            <w:r w:rsidR="00E500E3" w:rsidRPr="00324BB7">
              <w:rPr>
                <w:sz w:val="26"/>
                <w:szCs w:val="26"/>
              </w:rPr>
              <w:t xml:space="preserve"> theo M</w:t>
            </w:r>
            <w:r w:rsidR="00E500E3" w:rsidRPr="00324BB7">
              <w:rPr>
                <w:sz w:val="26"/>
                <w:szCs w:val="26"/>
                <w:lang w:val="vi-VN"/>
              </w:rPr>
              <w:t>ẫu số 01</w:t>
            </w:r>
            <w:r w:rsidR="00E500E3" w:rsidRPr="00324BB7">
              <w:rPr>
                <w:bCs/>
                <w:lang w:val="vi-VN"/>
              </w:rPr>
              <w:t xml:space="preserve"> quy định tại</w:t>
            </w:r>
            <w:r w:rsidR="00E500E3" w:rsidRPr="00324BB7">
              <w:rPr>
                <w:sz w:val="26"/>
                <w:szCs w:val="26"/>
                <w:lang w:val="vi-VN"/>
              </w:rPr>
              <w:t xml:space="preserve"> Phụ lục XXIII</w:t>
            </w:r>
            <w:r w:rsidR="003A71E3" w:rsidRPr="00324BB7">
              <w:rPr>
                <w:sz w:val="26"/>
                <w:szCs w:val="26"/>
                <w:lang w:val="vi-VN"/>
              </w:rPr>
              <w:t xml:space="preserve"> ban hành kèm theo Thông tư </w:t>
            </w:r>
            <w:r w:rsidR="003A71E3" w:rsidRPr="00324BB7">
              <w:rPr>
                <w:sz w:val="26"/>
                <w:szCs w:val="26"/>
              </w:rPr>
              <w:t>số 32/2023/TT-BYT</w:t>
            </w:r>
            <w:r w:rsidR="003A71E3" w:rsidRPr="00324BB7">
              <w:rPr>
                <w:sz w:val="26"/>
                <w:szCs w:val="26"/>
                <w:lang w:val="vi-VN"/>
              </w:rPr>
              <w:t>.</w:t>
            </w:r>
          </w:p>
          <w:p w14:paraId="46F194BF" w14:textId="5E5494EC" w:rsidR="00E10F41" w:rsidRPr="00324BB7" w:rsidRDefault="003A71E3" w:rsidP="008D6186">
            <w:pPr>
              <w:pStyle w:val="BodyText1"/>
              <w:shd w:val="clear" w:color="auto" w:fill="auto"/>
              <w:tabs>
                <w:tab w:val="left" w:pos="567"/>
              </w:tabs>
              <w:spacing w:before="120" w:after="120" w:line="340" w:lineRule="exact"/>
              <w:ind w:right="20"/>
              <w:rPr>
                <w:sz w:val="26"/>
                <w:szCs w:val="26"/>
                <w:lang w:val="vi-VN"/>
              </w:rPr>
            </w:pPr>
            <w:r w:rsidRPr="00324BB7">
              <w:rPr>
                <w:sz w:val="26"/>
                <w:szCs w:val="26"/>
              </w:rPr>
              <w:t xml:space="preserve">2. </w:t>
            </w:r>
            <w:r w:rsidR="006375E4" w:rsidRPr="00324BB7">
              <w:rPr>
                <w:sz w:val="26"/>
                <w:szCs w:val="26"/>
              </w:rPr>
              <w:t>B</w:t>
            </w:r>
            <w:r w:rsidR="006375E4" w:rsidRPr="00324BB7">
              <w:rPr>
                <w:bCs/>
                <w:lang w:val="vi-VN"/>
              </w:rPr>
              <w:t xml:space="preserve">áo cáo thay đổi theo </w:t>
            </w:r>
            <w:r w:rsidR="006375E4" w:rsidRPr="00324BB7">
              <w:rPr>
                <w:bCs/>
              </w:rPr>
              <w:t>m</w:t>
            </w:r>
            <w:r w:rsidR="006375E4" w:rsidRPr="00324BB7">
              <w:rPr>
                <w:bCs/>
                <w:lang w:val="vi-VN"/>
              </w:rPr>
              <w:t xml:space="preserve">ẫu số 05 quy định tại Phụ lục số XXIII </w:t>
            </w:r>
            <w:r w:rsidR="00E10F41" w:rsidRPr="00324BB7">
              <w:rPr>
                <w:sz w:val="26"/>
                <w:szCs w:val="26"/>
                <w:lang w:val="vi-VN"/>
              </w:rPr>
              <w:t xml:space="preserve">ban hành kèm theo Thông tư </w:t>
            </w:r>
            <w:r w:rsidR="00E10F41" w:rsidRPr="00324BB7">
              <w:rPr>
                <w:sz w:val="26"/>
                <w:szCs w:val="26"/>
              </w:rPr>
              <w:t>số 32/2023/TT-BYT</w:t>
            </w:r>
            <w:r w:rsidR="00E10F41" w:rsidRPr="00324BB7">
              <w:rPr>
                <w:sz w:val="26"/>
                <w:szCs w:val="26"/>
                <w:lang w:val="vi-VN"/>
              </w:rPr>
              <w:t>.</w:t>
            </w:r>
          </w:p>
          <w:p w14:paraId="3CE43A74" w14:textId="1A19DC6D" w:rsidR="00E10F41" w:rsidRPr="00324BB7" w:rsidRDefault="003A71E3" w:rsidP="008D6186">
            <w:pPr>
              <w:pStyle w:val="NormalWeb"/>
              <w:tabs>
                <w:tab w:val="left" w:pos="567"/>
              </w:tabs>
              <w:spacing w:before="120" w:beforeAutospacing="0" w:after="120" w:afterAutospacing="0" w:line="360" w:lineRule="exact"/>
              <w:jc w:val="both"/>
              <w:rPr>
                <w:sz w:val="26"/>
                <w:szCs w:val="26"/>
                <w:lang w:val="vi-VN"/>
              </w:rPr>
            </w:pPr>
            <w:r w:rsidRPr="00324BB7">
              <w:rPr>
                <w:sz w:val="26"/>
                <w:szCs w:val="26"/>
              </w:rPr>
              <w:t>3</w:t>
            </w:r>
            <w:r w:rsidR="00E10F41" w:rsidRPr="00324BB7">
              <w:rPr>
                <w:sz w:val="26"/>
                <w:szCs w:val="26"/>
                <w:lang w:val="vi-VN"/>
              </w:rPr>
              <w:t xml:space="preserve">. Bản kê khai Các thông tin chung về cơ sở nhận thử; cơ sở vật chất, danh mục thiết bị y tế; danh sách nhân sự đáp ứng điều kiện cho đánh giá đáp ứng GCP tương ứng; các quy trình thực hành chuẩn (SOPs), hệ thống quản lý chất lượng phục vụ cho việc thử nghiệm lâm sàng và các giấy tờ chứng minh, xác nhận các kê khai đó. Chi tiết lập hồ sơ theo hướng dẫn tại Phụ lục số XXII ban hành kèm theo Thông tư </w:t>
            </w:r>
            <w:r w:rsidR="00E10F41" w:rsidRPr="00324BB7">
              <w:rPr>
                <w:sz w:val="26"/>
                <w:szCs w:val="26"/>
              </w:rPr>
              <w:t>số 32/2023/TT-BYT</w:t>
            </w:r>
            <w:r w:rsidR="00E10F41" w:rsidRPr="00324BB7">
              <w:rPr>
                <w:sz w:val="26"/>
                <w:szCs w:val="26"/>
                <w:lang w:val="vi-VN"/>
              </w:rPr>
              <w:t>.</w:t>
            </w:r>
          </w:p>
          <w:p w14:paraId="1AA35088" w14:textId="0262F543" w:rsidR="00E10F41" w:rsidRPr="00324BB7" w:rsidRDefault="003A71E3" w:rsidP="008D6186">
            <w:pPr>
              <w:pStyle w:val="BodyText1"/>
              <w:shd w:val="clear" w:color="auto" w:fill="auto"/>
              <w:tabs>
                <w:tab w:val="left" w:pos="567"/>
              </w:tabs>
              <w:spacing w:before="120" w:after="120" w:line="360" w:lineRule="exact"/>
              <w:rPr>
                <w:sz w:val="26"/>
                <w:szCs w:val="26"/>
                <w:lang w:val="vi-VN"/>
              </w:rPr>
            </w:pPr>
            <w:r w:rsidRPr="00324BB7">
              <w:rPr>
                <w:sz w:val="26"/>
                <w:szCs w:val="26"/>
              </w:rPr>
              <w:t>4</w:t>
            </w:r>
            <w:r w:rsidR="00E10F41" w:rsidRPr="00324BB7">
              <w:rPr>
                <w:sz w:val="26"/>
                <w:szCs w:val="26"/>
                <w:lang w:val="vi-VN"/>
              </w:rPr>
              <w:t>. Bản sao giấy phép hoạt động đối với cơ sở nhận thử là cơ sở khám bệnh, chữa bệnh; bản sao quyết định thành lập hoặc bản sao giấy chứng nhận đăng ký doanh nghiệp kèm theo bản sao giấy chứng nhận hoạt động khoa học công nghệ đối với cơ sở nhận thử là tổ chức khoa học và công nghệ.</w:t>
            </w:r>
          </w:p>
        </w:tc>
      </w:tr>
      <w:tr w:rsidR="00E10F41" w:rsidRPr="000D7F38" w14:paraId="3A43902A" w14:textId="77777777" w:rsidTr="008D6186">
        <w:tc>
          <w:tcPr>
            <w:tcW w:w="625" w:type="pct"/>
            <w:gridSpan w:val="2"/>
            <w:shd w:val="clear" w:color="auto" w:fill="auto"/>
            <w:tcMar>
              <w:top w:w="0" w:type="dxa"/>
              <w:left w:w="0" w:type="dxa"/>
              <w:bottom w:w="0" w:type="dxa"/>
              <w:right w:w="0" w:type="dxa"/>
            </w:tcMar>
          </w:tcPr>
          <w:p w14:paraId="0B3E263C" w14:textId="77777777" w:rsidR="00E10F41" w:rsidRPr="00FF310F" w:rsidRDefault="00E10F41" w:rsidP="008D6186">
            <w:pPr>
              <w:spacing w:before="60" w:after="60"/>
              <w:rPr>
                <w:b/>
                <w:bCs/>
                <w:color w:val="FF0000"/>
                <w:sz w:val="26"/>
                <w:szCs w:val="26"/>
                <w:lang w:val="vi-VN"/>
              </w:rPr>
            </w:pPr>
          </w:p>
        </w:tc>
        <w:tc>
          <w:tcPr>
            <w:tcW w:w="4375" w:type="pct"/>
            <w:shd w:val="clear" w:color="auto" w:fill="auto"/>
          </w:tcPr>
          <w:p w14:paraId="6A4D8065" w14:textId="77777777" w:rsidR="00E10F41" w:rsidRPr="00324BB7" w:rsidRDefault="00E10F41" w:rsidP="008D6186">
            <w:pPr>
              <w:spacing w:before="60" w:after="60"/>
              <w:ind w:left="71" w:right="142"/>
              <w:rPr>
                <w:b/>
                <w:bCs/>
                <w:sz w:val="26"/>
                <w:szCs w:val="26"/>
                <w:lang w:val="vi-VN"/>
              </w:rPr>
            </w:pPr>
            <w:r w:rsidRPr="00324BB7">
              <w:rPr>
                <w:b/>
                <w:bCs/>
                <w:i/>
                <w:iCs/>
                <w:sz w:val="26"/>
                <w:szCs w:val="26"/>
                <w:lang w:val="vi-VN"/>
              </w:rPr>
              <w:t>II. Số lượng hồ sơ: 01 bộ</w:t>
            </w:r>
          </w:p>
        </w:tc>
      </w:tr>
      <w:tr w:rsidR="00E10F41" w:rsidRPr="000D7F38" w14:paraId="554A1B02" w14:textId="77777777" w:rsidTr="008D6186">
        <w:tc>
          <w:tcPr>
            <w:tcW w:w="5000" w:type="pct"/>
            <w:gridSpan w:val="3"/>
            <w:shd w:val="clear" w:color="auto" w:fill="auto"/>
            <w:tcMar>
              <w:top w:w="0" w:type="dxa"/>
              <w:left w:w="0" w:type="dxa"/>
              <w:bottom w:w="0" w:type="dxa"/>
              <w:right w:w="0" w:type="dxa"/>
            </w:tcMar>
          </w:tcPr>
          <w:p w14:paraId="4CFE5D32" w14:textId="77777777" w:rsidR="00E10F41" w:rsidRPr="00324BB7" w:rsidRDefault="00E10F41" w:rsidP="008D6186">
            <w:pPr>
              <w:spacing w:before="60" w:after="60"/>
              <w:ind w:left="71" w:right="142"/>
              <w:rPr>
                <w:sz w:val="26"/>
                <w:szCs w:val="26"/>
              </w:rPr>
            </w:pPr>
            <w:r w:rsidRPr="00324BB7">
              <w:rPr>
                <w:b/>
                <w:bCs/>
                <w:sz w:val="26"/>
                <w:szCs w:val="26"/>
                <w:lang w:val="vi-VN"/>
              </w:rPr>
              <w:t xml:space="preserve"> Thời hạn giải quyết: </w:t>
            </w:r>
            <w:r w:rsidRPr="00324BB7">
              <w:rPr>
                <w:sz w:val="26"/>
                <w:szCs w:val="26"/>
              </w:rPr>
              <w:t>35</w:t>
            </w:r>
            <w:r w:rsidRPr="00324BB7">
              <w:rPr>
                <w:sz w:val="26"/>
                <w:szCs w:val="26"/>
                <w:lang w:val="vi-VN"/>
              </w:rPr>
              <w:t xml:space="preserve"> ngày kể từ </w:t>
            </w:r>
            <w:r w:rsidRPr="00324BB7">
              <w:rPr>
                <w:sz w:val="26"/>
                <w:szCs w:val="26"/>
              </w:rPr>
              <w:t xml:space="preserve"> ngày nhận được hồ sơ </w:t>
            </w:r>
            <w:r w:rsidRPr="00324BB7">
              <w:rPr>
                <w:sz w:val="26"/>
                <w:szCs w:val="26"/>
                <w:lang w:val="vi-VN"/>
              </w:rPr>
              <w:t>đầy đủ, hợp lệ</w:t>
            </w:r>
          </w:p>
        </w:tc>
      </w:tr>
      <w:tr w:rsidR="00E10F41" w:rsidRPr="000D7F38" w14:paraId="36241C68" w14:textId="77777777" w:rsidTr="008D6186">
        <w:tc>
          <w:tcPr>
            <w:tcW w:w="5000" w:type="pct"/>
            <w:gridSpan w:val="3"/>
            <w:shd w:val="clear" w:color="auto" w:fill="auto"/>
            <w:tcMar>
              <w:top w:w="0" w:type="dxa"/>
              <w:left w:w="0" w:type="dxa"/>
              <w:bottom w:w="0" w:type="dxa"/>
              <w:right w:w="0" w:type="dxa"/>
            </w:tcMar>
          </w:tcPr>
          <w:p w14:paraId="16FAFF62"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Đối tượng thực hiện thủ tục hành chính: </w:t>
            </w:r>
            <w:r w:rsidRPr="00324BB7">
              <w:rPr>
                <w:sz w:val="26"/>
                <w:szCs w:val="26"/>
                <w:lang w:val="vi-VN"/>
              </w:rPr>
              <w:t xml:space="preserve">Cơ sở nhận </w:t>
            </w:r>
            <w:r w:rsidRPr="00324BB7">
              <w:rPr>
                <w:bCs/>
                <w:sz w:val="26"/>
                <w:szCs w:val="26"/>
                <w:lang w:val="vi-VN"/>
              </w:rPr>
              <w:t>thử</w:t>
            </w:r>
          </w:p>
        </w:tc>
      </w:tr>
      <w:tr w:rsidR="00E10F41" w:rsidRPr="000D7F38" w14:paraId="3B7D59FF" w14:textId="77777777" w:rsidTr="008D6186">
        <w:tc>
          <w:tcPr>
            <w:tcW w:w="5000" w:type="pct"/>
            <w:gridSpan w:val="3"/>
            <w:shd w:val="clear" w:color="auto" w:fill="auto"/>
            <w:tcMar>
              <w:top w:w="0" w:type="dxa"/>
              <w:left w:w="0" w:type="dxa"/>
              <w:bottom w:w="0" w:type="dxa"/>
              <w:right w:w="0" w:type="dxa"/>
            </w:tcMar>
          </w:tcPr>
          <w:p w14:paraId="22629867" w14:textId="77777777" w:rsidR="00E10F41" w:rsidRPr="00324BB7" w:rsidRDefault="00E10F41" w:rsidP="008D6186">
            <w:pPr>
              <w:spacing w:before="60" w:after="60"/>
              <w:ind w:left="71" w:right="142"/>
              <w:rPr>
                <w:sz w:val="26"/>
                <w:szCs w:val="26"/>
              </w:rPr>
            </w:pPr>
            <w:r w:rsidRPr="00324BB7">
              <w:rPr>
                <w:b/>
                <w:bCs/>
                <w:sz w:val="26"/>
                <w:szCs w:val="26"/>
                <w:lang w:val="vi-VN"/>
              </w:rPr>
              <w:t xml:space="preserve"> Cơ quan thực hiện thủ tục hành chính: </w:t>
            </w:r>
            <w:r w:rsidRPr="00324BB7">
              <w:rPr>
                <w:sz w:val="26"/>
                <w:szCs w:val="26"/>
                <w:lang w:val="vi-VN"/>
              </w:rPr>
              <w:t>Bộ Y tế</w:t>
            </w:r>
            <w:r w:rsidRPr="00324BB7">
              <w:rPr>
                <w:sz w:val="26"/>
                <w:szCs w:val="26"/>
              </w:rPr>
              <w:t xml:space="preserve"> (</w:t>
            </w:r>
            <w:r w:rsidRPr="00324BB7">
              <w:rPr>
                <w:sz w:val="26"/>
                <w:szCs w:val="26"/>
                <w:lang w:val="vi-VN"/>
              </w:rPr>
              <w:t>Cục Khoa học công nghệ và Đào tạo</w:t>
            </w:r>
            <w:r w:rsidRPr="00324BB7">
              <w:rPr>
                <w:sz w:val="26"/>
                <w:szCs w:val="26"/>
              </w:rPr>
              <w:t>)</w:t>
            </w:r>
          </w:p>
        </w:tc>
      </w:tr>
      <w:tr w:rsidR="00E10F41" w:rsidRPr="000D7F38" w14:paraId="35EA04FD" w14:textId="77777777" w:rsidTr="008D6186">
        <w:tc>
          <w:tcPr>
            <w:tcW w:w="5000" w:type="pct"/>
            <w:gridSpan w:val="3"/>
            <w:shd w:val="clear" w:color="auto" w:fill="auto"/>
            <w:tcMar>
              <w:top w:w="0" w:type="dxa"/>
              <w:left w:w="0" w:type="dxa"/>
              <w:bottom w:w="0" w:type="dxa"/>
              <w:right w:w="0" w:type="dxa"/>
            </w:tcMar>
          </w:tcPr>
          <w:p w14:paraId="52F2566A"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Kết quả thực hiện thủ tục hành chính: </w:t>
            </w:r>
            <w:r w:rsidRPr="00324BB7">
              <w:rPr>
                <w:sz w:val="26"/>
                <w:szCs w:val="26"/>
                <w:lang w:val="vi-VN"/>
              </w:rPr>
              <w:t>Giấy chứng nhận đáp ứng thực hành tốt thử nghiệm lâm sàng kỹ thuật mới, phương pháp mới hoặc thiết bị y tế (GCP)</w:t>
            </w:r>
          </w:p>
        </w:tc>
      </w:tr>
      <w:tr w:rsidR="00E10F41" w:rsidRPr="000D7F38" w14:paraId="18D38E3B" w14:textId="77777777" w:rsidTr="008D6186">
        <w:tc>
          <w:tcPr>
            <w:tcW w:w="5000" w:type="pct"/>
            <w:gridSpan w:val="3"/>
            <w:shd w:val="clear" w:color="auto" w:fill="auto"/>
            <w:tcMar>
              <w:top w:w="0" w:type="dxa"/>
              <w:left w:w="0" w:type="dxa"/>
              <w:bottom w:w="0" w:type="dxa"/>
              <w:right w:w="0" w:type="dxa"/>
            </w:tcMar>
          </w:tcPr>
          <w:p w14:paraId="6DCE27A3"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Lệ phí (nếu có): </w:t>
            </w:r>
            <w:r w:rsidRPr="00324BB7">
              <w:rPr>
                <w:sz w:val="26"/>
                <w:szCs w:val="26"/>
                <w:lang w:val="vi-VN"/>
              </w:rPr>
              <w:t>Không quy định</w:t>
            </w:r>
          </w:p>
        </w:tc>
      </w:tr>
      <w:tr w:rsidR="00E10F41" w:rsidRPr="000D7F38" w14:paraId="44EDD6A0" w14:textId="77777777" w:rsidTr="008D6186">
        <w:tc>
          <w:tcPr>
            <w:tcW w:w="5000" w:type="pct"/>
            <w:gridSpan w:val="3"/>
            <w:shd w:val="clear" w:color="auto" w:fill="auto"/>
            <w:tcMar>
              <w:top w:w="0" w:type="dxa"/>
              <w:left w:w="0" w:type="dxa"/>
              <w:bottom w:w="0" w:type="dxa"/>
              <w:right w:w="0" w:type="dxa"/>
            </w:tcMar>
          </w:tcPr>
          <w:p w14:paraId="07042436"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Tên mẫu đơn, mẫu tờ khai (đính kèm thủ tục này)</w:t>
            </w:r>
          </w:p>
        </w:tc>
      </w:tr>
      <w:tr w:rsidR="00E10F41" w:rsidRPr="000D7F38" w14:paraId="5D4B0898" w14:textId="77777777" w:rsidTr="008D6186">
        <w:tc>
          <w:tcPr>
            <w:tcW w:w="625" w:type="pct"/>
            <w:gridSpan w:val="2"/>
            <w:shd w:val="clear" w:color="auto" w:fill="auto"/>
            <w:tcMar>
              <w:top w:w="0" w:type="dxa"/>
              <w:left w:w="0" w:type="dxa"/>
              <w:bottom w:w="0" w:type="dxa"/>
              <w:right w:w="0" w:type="dxa"/>
            </w:tcMar>
          </w:tcPr>
          <w:p w14:paraId="734F9C00" w14:textId="77777777" w:rsidR="00E10F41" w:rsidRPr="000D7F38" w:rsidRDefault="00E10F41" w:rsidP="008D6186">
            <w:pPr>
              <w:spacing w:before="60" w:after="60"/>
              <w:rPr>
                <w:color w:val="000000" w:themeColor="text1"/>
                <w:sz w:val="26"/>
                <w:szCs w:val="26"/>
                <w:lang w:val="vi-VN"/>
              </w:rPr>
            </w:pPr>
            <w:r w:rsidRPr="000D7F38">
              <w:rPr>
                <w:color w:val="000000" w:themeColor="text1"/>
                <w:sz w:val="26"/>
                <w:szCs w:val="26"/>
                <w:lang w:val="vi-VN"/>
              </w:rPr>
              <w:t> </w:t>
            </w:r>
          </w:p>
        </w:tc>
        <w:tc>
          <w:tcPr>
            <w:tcW w:w="4375" w:type="pct"/>
            <w:shd w:val="clear" w:color="auto" w:fill="auto"/>
            <w:tcMar>
              <w:top w:w="0" w:type="dxa"/>
              <w:left w:w="0" w:type="dxa"/>
              <w:bottom w:w="0" w:type="dxa"/>
              <w:right w:w="0" w:type="dxa"/>
            </w:tcMar>
          </w:tcPr>
          <w:p w14:paraId="5020B112" w14:textId="6DE21B57" w:rsidR="00E10F41" w:rsidRPr="00324BB7" w:rsidRDefault="00670A4D" w:rsidP="00FF310F">
            <w:pPr>
              <w:rPr>
                <w:sz w:val="26"/>
                <w:szCs w:val="26"/>
              </w:rPr>
            </w:pPr>
            <w:r w:rsidRPr="00324BB7">
              <w:rPr>
                <w:sz w:val="26"/>
                <w:szCs w:val="26"/>
              </w:rPr>
              <w:t xml:space="preserve">1. </w:t>
            </w:r>
            <w:r w:rsidR="00E10F41" w:rsidRPr="00324BB7">
              <w:rPr>
                <w:sz w:val="26"/>
                <w:szCs w:val="26"/>
              </w:rPr>
              <w:t>M</w:t>
            </w:r>
            <w:r w:rsidR="00E10F41" w:rsidRPr="00324BB7">
              <w:rPr>
                <w:sz w:val="26"/>
                <w:szCs w:val="26"/>
                <w:lang w:val="vi-VN"/>
              </w:rPr>
              <w:t>ẫu số 01 Phụ lục XXIII</w:t>
            </w:r>
            <w:r w:rsidR="00E10F41" w:rsidRPr="00324BB7">
              <w:rPr>
                <w:sz w:val="26"/>
                <w:szCs w:val="26"/>
              </w:rPr>
              <w:t xml:space="preserve">: </w:t>
            </w:r>
            <w:r w:rsidR="00E10F41" w:rsidRPr="00324BB7">
              <w:rPr>
                <w:sz w:val="26"/>
                <w:szCs w:val="26"/>
                <w:lang w:val="vi-VN"/>
              </w:rPr>
              <w:t>Đơn đề nghị đánh giá đáp ứng GCP</w:t>
            </w:r>
            <w:r w:rsidR="00E10F41" w:rsidRPr="00324BB7" w:rsidDel="00653E43">
              <w:rPr>
                <w:sz w:val="26"/>
                <w:szCs w:val="26"/>
                <w:lang w:val="vi-VN"/>
              </w:rPr>
              <w:t xml:space="preserve"> </w:t>
            </w:r>
          </w:p>
          <w:p w14:paraId="0BB3B49F" w14:textId="2606D98B" w:rsidR="003A71E3" w:rsidRPr="00324BB7" w:rsidRDefault="003A71E3" w:rsidP="00FF310F">
            <w:pPr>
              <w:rPr>
                <w:sz w:val="26"/>
                <w:szCs w:val="26"/>
              </w:rPr>
            </w:pPr>
            <w:r w:rsidRPr="00324BB7">
              <w:rPr>
                <w:sz w:val="26"/>
                <w:szCs w:val="26"/>
              </w:rPr>
              <w:t xml:space="preserve">2. </w:t>
            </w:r>
            <w:r w:rsidRPr="00324BB7">
              <w:rPr>
                <w:bCs/>
                <w:sz w:val="26"/>
                <w:szCs w:val="26"/>
              </w:rPr>
              <w:t>M</w:t>
            </w:r>
            <w:r w:rsidRPr="00324BB7">
              <w:rPr>
                <w:bCs/>
                <w:sz w:val="26"/>
                <w:szCs w:val="26"/>
                <w:lang w:val="vi-VN"/>
              </w:rPr>
              <w:t>ẫu số 05 Phụ lục số XXIII</w:t>
            </w:r>
            <w:r w:rsidRPr="00324BB7">
              <w:rPr>
                <w:bCs/>
                <w:sz w:val="26"/>
                <w:szCs w:val="26"/>
              </w:rPr>
              <w:t>: B</w:t>
            </w:r>
            <w:r w:rsidRPr="00324BB7">
              <w:rPr>
                <w:bCs/>
                <w:sz w:val="26"/>
                <w:szCs w:val="26"/>
                <w:lang w:val="vi-VN"/>
              </w:rPr>
              <w:t>áo cáo thay đổi</w:t>
            </w:r>
          </w:p>
          <w:p w14:paraId="1135F029" w14:textId="359076E0" w:rsidR="00E10F41" w:rsidRPr="00324BB7" w:rsidRDefault="003A71E3" w:rsidP="00FF310F">
            <w:pPr>
              <w:spacing w:before="60" w:after="60"/>
              <w:ind w:right="142"/>
              <w:rPr>
                <w:sz w:val="26"/>
                <w:szCs w:val="26"/>
                <w:lang w:val="vi-VN"/>
              </w:rPr>
            </w:pPr>
            <w:r w:rsidRPr="00324BB7">
              <w:rPr>
                <w:bCs/>
                <w:sz w:val="26"/>
                <w:szCs w:val="26"/>
              </w:rPr>
              <w:t>3</w:t>
            </w:r>
            <w:r w:rsidR="00E10F41" w:rsidRPr="00324BB7">
              <w:rPr>
                <w:sz w:val="26"/>
                <w:szCs w:val="26"/>
              </w:rPr>
              <w:t xml:space="preserve">. </w:t>
            </w:r>
            <w:r w:rsidR="00E10F41" w:rsidRPr="00324BB7">
              <w:rPr>
                <w:sz w:val="26"/>
                <w:szCs w:val="26"/>
                <w:lang w:val="vi-VN"/>
              </w:rPr>
              <w:t>Hồ sơ theo hướng dẫn tại Phụ lục số XXII</w:t>
            </w:r>
          </w:p>
        </w:tc>
      </w:tr>
      <w:tr w:rsidR="00E10F41" w:rsidRPr="000D7F38" w14:paraId="2B608E11" w14:textId="77777777" w:rsidTr="008D6186">
        <w:tc>
          <w:tcPr>
            <w:tcW w:w="5000" w:type="pct"/>
            <w:gridSpan w:val="3"/>
            <w:shd w:val="clear" w:color="auto" w:fill="auto"/>
            <w:tcMar>
              <w:top w:w="0" w:type="dxa"/>
              <w:left w:w="0" w:type="dxa"/>
              <w:bottom w:w="0" w:type="dxa"/>
              <w:right w:w="0" w:type="dxa"/>
            </w:tcMar>
          </w:tcPr>
          <w:p w14:paraId="229595CC" w14:textId="4A95FECD" w:rsidR="00E10F41" w:rsidRPr="00324BB7" w:rsidRDefault="00E10F41" w:rsidP="008D6186">
            <w:pPr>
              <w:spacing w:before="60" w:after="60"/>
              <w:ind w:left="71" w:right="142"/>
              <w:rPr>
                <w:sz w:val="26"/>
                <w:szCs w:val="26"/>
                <w:lang w:val="vi-VN"/>
              </w:rPr>
            </w:pPr>
            <w:r w:rsidRPr="00324BB7">
              <w:rPr>
                <w:b/>
                <w:bCs/>
                <w:sz w:val="26"/>
                <w:szCs w:val="26"/>
                <w:lang w:val="vi-VN"/>
              </w:rPr>
              <w:t xml:space="preserve"> Yêu cầu, Điều kiện thực hiện thủ tục hành chính (nếu có): </w:t>
            </w:r>
            <w:r w:rsidRPr="00324BB7">
              <w:rPr>
                <w:sz w:val="26"/>
                <w:szCs w:val="26"/>
                <w:lang w:val="vi-VN"/>
              </w:rPr>
              <w:t>Có</w:t>
            </w:r>
          </w:p>
          <w:p w14:paraId="0842A994" w14:textId="77777777" w:rsidR="00E10F41" w:rsidRDefault="00E10F41" w:rsidP="008D6186">
            <w:pPr>
              <w:spacing w:before="120" w:after="120" w:line="340" w:lineRule="exact"/>
              <w:ind w:firstLine="567"/>
              <w:jc w:val="both"/>
              <w:rPr>
                <w:sz w:val="26"/>
                <w:szCs w:val="26"/>
              </w:rPr>
            </w:pPr>
            <w:r w:rsidRPr="00324BB7">
              <w:rPr>
                <w:sz w:val="26"/>
                <w:szCs w:val="26"/>
                <w:lang w:val="vi-VN"/>
              </w:rPr>
              <w:t>Đoàn đánh giá đánh giá việc triển khai áp dụng GCP tại cơ sở nhận thử theo các tiêu chuẩn GCP quy định tại Phụ lục số XXI</w:t>
            </w:r>
          </w:p>
          <w:p w14:paraId="22B9BD0A" w14:textId="77777777" w:rsidR="00324BB7" w:rsidRDefault="00324BB7" w:rsidP="00324BB7">
            <w:pPr>
              <w:spacing w:before="120" w:after="120" w:line="340" w:lineRule="exact"/>
              <w:ind w:firstLine="567"/>
              <w:jc w:val="both"/>
              <w:rPr>
                <w:sz w:val="26"/>
                <w:szCs w:val="26"/>
              </w:rPr>
            </w:pPr>
            <w:r>
              <w:rPr>
                <w:sz w:val="26"/>
                <w:szCs w:val="26"/>
              </w:rPr>
              <w:t xml:space="preserve">Đánh giá thay đổi đối với các trường hợp quy định tại điểm a, b khoản 1 Điều 26  </w:t>
            </w:r>
            <w:r w:rsidRPr="00324BB7">
              <w:rPr>
                <w:sz w:val="26"/>
                <w:szCs w:val="26"/>
                <w:lang w:val="vi-VN"/>
              </w:rPr>
              <w:t xml:space="preserve">Thông tư </w:t>
            </w:r>
            <w:r w:rsidRPr="00324BB7">
              <w:rPr>
                <w:sz w:val="26"/>
                <w:szCs w:val="26"/>
              </w:rPr>
              <w:t>số 32/2023/TT-BYT</w:t>
            </w:r>
            <w:r>
              <w:rPr>
                <w:sz w:val="26"/>
                <w:szCs w:val="26"/>
              </w:rPr>
              <w:t xml:space="preserve">: </w:t>
            </w:r>
          </w:p>
          <w:p w14:paraId="38028EAB" w14:textId="7CC2847E" w:rsidR="00324BB7" w:rsidRPr="00324BB7" w:rsidRDefault="00324BB7" w:rsidP="00324BB7">
            <w:pPr>
              <w:spacing w:before="120" w:after="120" w:line="340" w:lineRule="exact"/>
              <w:ind w:firstLine="567"/>
              <w:jc w:val="both"/>
              <w:rPr>
                <w:sz w:val="26"/>
                <w:szCs w:val="26"/>
                <w:lang w:val="vi-VN"/>
              </w:rPr>
            </w:pPr>
            <w:r w:rsidRPr="00324BB7">
              <w:rPr>
                <w:sz w:val="26"/>
                <w:szCs w:val="26"/>
                <w:lang w:val="vi-VN"/>
              </w:rPr>
              <w:t>- Thay đổi phạm vi Giấy chứng nhận đạt GCP;</w:t>
            </w:r>
          </w:p>
          <w:p w14:paraId="5FA08022" w14:textId="4090D4BD" w:rsidR="00324BB7" w:rsidRPr="00324BB7" w:rsidRDefault="00324BB7" w:rsidP="00324BB7">
            <w:pPr>
              <w:spacing w:before="120" w:after="120" w:line="340" w:lineRule="exact"/>
              <w:ind w:firstLine="567"/>
              <w:jc w:val="both"/>
              <w:rPr>
                <w:rFonts w:ascii="Arial" w:hAnsi="Arial" w:cs="Arial"/>
                <w:color w:val="000000"/>
                <w:sz w:val="18"/>
                <w:szCs w:val="18"/>
              </w:rPr>
            </w:pPr>
            <w:r>
              <w:rPr>
                <w:sz w:val="26"/>
                <w:szCs w:val="26"/>
              </w:rPr>
              <w:t>-</w:t>
            </w:r>
            <w:r w:rsidRPr="00324BB7">
              <w:rPr>
                <w:sz w:val="26"/>
                <w:szCs w:val="26"/>
                <w:lang w:val="vi-VN"/>
              </w:rPr>
              <w:t xml:space="preserve"> Thay đổi địa điểm thử nghiệm lâm sàng kỹ thuật mới, phương pháp mới hoặc thiết bị y tế; thay đổi vị trí một trong các phòng kỹ thuật phục vụ thử nghiệm lâm sàng kỹ thuật mới, phương pháp mới hoặc thiết bị y tế (phòng khám, điều trị, phòng cấp cứu, phòng xét nghiệm) tại địa điểm mới;</w:t>
            </w:r>
          </w:p>
        </w:tc>
      </w:tr>
      <w:tr w:rsidR="00E10F41" w:rsidRPr="000D7F38" w14:paraId="7EBD41AB" w14:textId="77777777" w:rsidTr="008D6186">
        <w:tc>
          <w:tcPr>
            <w:tcW w:w="5000" w:type="pct"/>
            <w:gridSpan w:val="3"/>
            <w:shd w:val="clear" w:color="auto" w:fill="auto"/>
            <w:tcMar>
              <w:top w:w="0" w:type="dxa"/>
              <w:left w:w="0" w:type="dxa"/>
              <w:bottom w:w="0" w:type="dxa"/>
              <w:right w:w="0" w:type="dxa"/>
            </w:tcMar>
          </w:tcPr>
          <w:p w14:paraId="3236E35D" w14:textId="77777777" w:rsidR="00E10F41" w:rsidRPr="00324BB7" w:rsidRDefault="00E10F41" w:rsidP="008D6186">
            <w:pPr>
              <w:spacing w:before="60" w:after="60"/>
              <w:ind w:left="71" w:right="142"/>
              <w:rPr>
                <w:sz w:val="26"/>
                <w:szCs w:val="26"/>
                <w:lang w:val="vi-VN"/>
              </w:rPr>
            </w:pPr>
            <w:r w:rsidRPr="00324BB7">
              <w:rPr>
                <w:b/>
                <w:bCs/>
                <w:sz w:val="26"/>
                <w:szCs w:val="26"/>
                <w:lang w:val="vi-VN"/>
              </w:rPr>
              <w:t xml:space="preserve"> Căn cứ pháp lý của thủ tục hành chính</w:t>
            </w:r>
          </w:p>
        </w:tc>
      </w:tr>
      <w:tr w:rsidR="00E10F41" w:rsidRPr="000D7F38" w14:paraId="3063B190" w14:textId="77777777" w:rsidTr="008D6186">
        <w:tc>
          <w:tcPr>
            <w:tcW w:w="486" w:type="pct"/>
            <w:shd w:val="clear" w:color="auto" w:fill="auto"/>
            <w:tcMar>
              <w:top w:w="0" w:type="dxa"/>
              <w:left w:w="0" w:type="dxa"/>
              <w:bottom w:w="0" w:type="dxa"/>
              <w:right w:w="0" w:type="dxa"/>
            </w:tcMar>
          </w:tcPr>
          <w:p w14:paraId="3D8D49FD" w14:textId="77777777" w:rsidR="00E10F41" w:rsidRPr="000D7F38" w:rsidRDefault="00E10F41" w:rsidP="008D6186">
            <w:pPr>
              <w:spacing w:before="60" w:after="60"/>
              <w:rPr>
                <w:color w:val="000000" w:themeColor="text1"/>
                <w:sz w:val="26"/>
                <w:szCs w:val="26"/>
                <w:lang w:val="vi-VN"/>
              </w:rPr>
            </w:pPr>
            <w:r w:rsidRPr="000D7F38">
              <w:rPr>
                <w:color w:val="000000" w:themeColor="text1"/>
                <w:sz w:val="26"/>
                <w:szCs w:val="26"/>
                <w:lang w:val="vi-VN"/>
              </w:rPr>
              <w:t> </w:t>
            </w:r>
          </w:p>
        </w:tc>
        <w:tc>
          <w:tcPr>
            <w:tcW w:w="4514" w:type="pct"/>
            <w:gridSpan w:val="2"/>
            <w:shd w:val="clear" w:color="auto" w:fill="auto"/>
            <w:tcMar>
              <w:top w:w="0" w:type="dxa"/>
              <w:left w:w="0" w:type="dxa"/>
              <w:bottom w:w="0" w:type="dxa"/>
              <w:right w:w="0" w:type="dxa"/>
            </w:tcMar>
          </w:tcPr>
          <w:p w14:paraId="76D5FBB6" w14:textId="1BFD3012" w:rsidR="00E500E3" w:rsidRPr="00324BB7" w:rsidRDefault="00E500E3" w:rsidP="00FF310F">
            <w:pPr>
              <w:spacing w:before="60" w:after="60"/>
              <w:ind w:right="142"/>
              <w:jc w:val="both"/>
              <w:rPr>
                <w:sz w:val="26"/>
                <w:szCs w:val="26"/>
                <w:lang w:val="vi-VN"/>
              </w:rPr>
            </w:pPr>
            <w:r w:rsidRPr="00324BB7">
              <w:rPr>
                <w:sz w:val="26"/>
                <w:szCs w:val="26"/>
              </w:rPr>
              <w:t xml:space="preserve"> </w:t>
            </w:r>
            <w:r w:rsidR="00E10F41" w:rsidRPr="00324BB7">
              <w:rPr>
                <w:sz w:val="26"/>
                <w:szCs w:val="26"/>
                <w:lang w:val="vi-VN"/>
              </w:rPr>
              <w:t>1. Luật khám bệnh chữa bệnh 2023 số 15/2023/QH15;</w:t>
            </w:r>
          </w:p>
          <w:p w14:paraId="1C68E191" w14:textId="5B29F33D" w:rsidR="00E10F41" w:rsidRPr="00324BB7" w:rsidRDefault="00E500E3" w:rsidP="00FF310F">
            <w:pPr>
              <w:spacing w:before="60" w:after="60"/>
              <w:ind w:right="142"/>
              <w:jc w:val="both"/>
              <w:rPr>
                <w:sz w:val="26"/>
                <w:szCs w:val="26"/>
                <w:lang w:val="vi-VN"/>
              </w:rPr>
            </w:pPr>
            <w:r w:rsidRPr="00324BB7">
              <w:rPr>
                <w:sz w:val="26"/>
                <w:szCs w:val="26"/>
              </w:rPr>
              <w:t xml:space="preserve"> </w:t>
            </w:r>
            <w:r w:rsidR="00E10F41" w:rsidRPr="00324BB7">
              <w:rPr>
                <w:sz w:val="26"/>
                <w:szCs w:val="26"/>
                <w:lang w:val="vi-VN"/>
              </w:rPr>
              <w:t>2. Nghị định số 96/NĐ-CP</w:t>
            </w:r>
            <w:r w:rsidR="00E10F41" w:rsidRPr="00324BB7">
              <w:rPr>
                <w:sz w:val="26"/>
                <w:szCs w:val="26"/>
              </w:rPr>
              <w:t xml:space="preserve"> </w:t>
            </w:r>
            <w:r w:rsidR="00E10F41" w:rsidRPr="00324BB7">
              <w:rPr>
                <w:sz w:val="26"/>
                <w:szCs w:val="26"/>
                <w:lang w:val="vi-VN"/>
              </w:rPr>
              <w:t>ngày 3</w:t>
            </w:r>
            <w:r w:rsidR="00E10F41" w:rsidRPr="00324BB7">
              <w:rPr>
                <w:sz w:val="26"/>
                <w:szCs w:val="26"/>
              </w:rPr>
              <w:t>0</w:t>
            </w:r>
            <w:r w:rsidR="00E10F41" w:rsidRPr="00324BB7">
              <w:rPr>
                <w:sz w:val="26"/>
                <w:szCs w:val="26"/>
                <w:lang w:val="vi-VN"/>
              </w:rPr>
              <w:t>/12/2023;</w:t>
            </w:r>
          </w:p>
          <w:p w14:paraId="7EA238A3" w14:textId="76B18AB4" w:rsidR="00E10F41" w:rsidRPr="00324BB7" w:rsidRDefault="00E500E3" w:rsidP="00FF310F">
            <w:pPr>
              <w:spacing w:before="60" w:after="60"/>
              <w:ind w:right="142"/>
              <w:jc w:val="both"/>
              <w:rPr>
                <w:sz w:val="26"/>
                <w:szCs w:val="26"/>
                <w:lang w:val="vi-VN"/>
              </w:rPr>
            </w:pPr>
            <w:r w:rsidRPr="00324BB7">
              <w:rPr>
                <w:sz w:val="26"/>
                <w:szCs w:val="26"/>
              </w:rPr>
              <w:t xml:space="preserve"> </w:t>
            </w:r>
            <w:r w:rsidR="00E10F41" w:rsidRPr="00324BB7">
              <w:rPr>
                <w:sz w:val="26"/>
                <w:szCs w:val="26"/>
                <w:lang w:val="vi-VN"/>
              </w:rPr>
              <w:t>3. Thông tư số 32/2023/TT-BYT ngày 31/12/2023</w:t>
            </w:r>
          </w:p>
        </w:tc>
      </w:tr>
    </w:tbl>
    <w:p w14:paraId="7B9FADF6" w14:textId="77777777" w:rsidR="00250A53" w:rsidRPr="000D7F38" w:rsidRDefault="00250A53" w:rsidP="009B4774">
      <w:pPr>
        <w:rPr>
          <w:sz w:val="26"/>
          <w:szCs w:val="26"/>
          <w:lang w:val="vi-VN"/>
        </w:rPr>
      </w:pPr>
    </w:p>
    <w:sectPr w:rsidR="00250A53" w:rsidRPr="000D7F38" w:rsidSect="009B4774">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2E9"/>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35E83759"/>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 w15:restartNumberingAfterBreak="0">
    <w:nsid w:val="36FF0EED"/>
    <w:multiLevelType w:val="hybridMultilevel"/>
    <w:tmpl w:val="16B6CB5A"/>
    <w:lvl w:ilvl="0" w:tplc="AF165B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4F5508B"/>
    <w:multiLevelType w:val="hybridMultilevel"/>
    <w:tmpl w:val="797E5664"/>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F152D"/>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4D"/>
    <w:rsid w:val="00057701"/>
    <w:rsid w:val="0006248F"/>
    <w:rsid w:val="000917AF"/>
    <w:rsid w:val="000D7F38"/>
    <w:rsid w:val="000F765D"/>
    <w:rsid w:val="001068BB"/>
    <w:rsid w:val="001929EB"/>
    <w:rsid w:val="001A04C2"/>
    <w:rsid w:val="001B0AD9"/>
    <w:rsid w:val="001B1137"/>
    <w:rsid w:val="00250A53"/>
    <w:rsid w:val="003239CB"/>
    <w:rsid w:val="00324BB7"/>
    <w:rsid w:val="0035012C"/>
    <w:rsid w:val="003A71E3"/>
    <w:rsid w:val="003F484D"/>
    <w:rsid w:val="003F62C1"/>
    <w:rsid w:val="00413DFC"/>
    <w:rsid w:val="00443835"/>
    <w:rsid w:val="004A64D6"/>
    <w:rsid w:val="004A7CA1"/>
    <w:rsid w:val="004F16D1"/>
    <w:rsid w:val="00525E1A"/>
    <w:rsid w:val="005B7ED9"/>
    <w:rsid w:val="005C3646"/>
    <w:rsid w:val="005F6E15"/>
    <w:rsid w:val="00625845"/>
    <w:rsid w:val="006375E4"/>
    <w:rsid w:val="00653E43"/>
    <w:rsid w:val="00670A4D"/>
    <w:rsid w:val="00670B41"/>
    <w:rsid w:val="00685ADA"/>
    <w:rsid w:val="006C0A4D"/>
    <w:rsid w:val="006E154A"/>
    <w:rsid w:val="007A26C4"/>
    <w:rsid w:val="00895935"/>
    <w:rsid w:val="008A5E4A"/>
    <w:rsid w:val="009058A2"/>
    <w:rsid w:val="00945EE1"/>
    <w:rsid w:val="009952AE"/>
    <w:rsid w:val="009A0488"/>
    <w:rsid w:val="009B4774"/>
    <w:rsid w:val="00A159E2"/>
    <w:rsid w:val="00A5191B"/>
    <w:rsid w:val="00B868F7"/>
    <w:rsid w:val="00BA326E"/>
    <w:rsid w:val="00C57521"/>
    <w:rsid w:val="00CC22B8"/>
    <w:rsid w:val="00DB3755"/>
    <w:rsid w:val="00E10F41"/>
    <w:rsid w:val="00E22B15"/>
    <w:rsid w:val="00E2480C"/>
    <w:rsid w:val="00E500E3"/>
    <w:rsid w:val="00E5139E"/>
    <w:rsid w:val="00E53D6A"/>
    <w:rsid w:val="00E9529F"/>
    <w:rsid w:val="00EF66A6"/>
    <w:rsid w:val="00F27F2E"/>
    <w:rsid w:val="00FB6D8F"/>
    <w:rsid w:val="00FE2138"/>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2A31"/>
  <w15:docId w15:val="{EAB969B2-6A00-45C2-B987-6F95D02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774"/>
    <w:pPr>
      <w:ind w:left="720"/>
      <w:contextualSpacing/>
    </w:pPr>
  </w:style>
  <w:style w:type="paragraph" w:customStyle="1" w:styleId="BodyText1">
    <w:name w:val="Body Text1"/>
    <w:basedOn w:val="Normal"/>
    <w:rsid w:val="003239CB"/>
    <w:pPr>
      <w:widowControl w:val="0"/>
      <w:shd w:val="clear" w:color="auto" w:fill="FFFFFF"/>
      <w:spacing w:before="540" w:line="0" w:lineRule="atLeast"/>
      <w:jc w:val="both"/>
    </w:pPr>
    <w:rPr>
      <w:sz w:val="27"/>
      <w:szCs w:val="27"/>
    </w:rPr>
  </w:style>
  <w:style w:type="paragraph" w:styleId="NormalWeb">
    <w:name w:val="Normal (Web)"/>
    <w:basedOn w:val="Normal"/>
    <w:link w:val="NormalWebChar"/>
    <w:uiPriority w:val="99"/>
    <w:unhideWhenUsed/>
    <w:rsid w:val="00670B41"/>
    <w:pPr>
      <w:spacing w:before="100" w:beforeAutospacing="1" w:after="100" w:afterAutospacing="1"/>
    </w:pPr>
  </w:style>
  <w:style w:type="character" w:customStyle="1" w:styleId="NormalWebChar">
    <w:name w:val="Normal (Web) Char"/>
    <w:link w:val="NormalWeb"/>
    <w:uiPriority w:val="99"/>
    <w:locked/>
    <w:rsid w:val="00670B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3646"/>
    <w:rPr>
      <w:rFonts w:ascii="Tahoma" w:hAnsi="Tahoma" w:cs="Tahoma"/>
      <w:sz w:val="16"/>
      <w:szCs w:val="16"/>
    </w:rPr>
  </w:style>
  <w:style w:type="character" w:customStyle="1" w:styleId="BalloonTextChar">
    <w:name w:val="Balloon Text Char"/>
    <w:basedOn w:val="DefaultParagraphFont"/>
    <w:link w:val="BalloonText"/>
    <w:uiPriority w:val="99"/>
    <w:semiHidden/>
    <w:rsid w:val="005C3646"/>
    <w:rPr>
      <w:rFonts w:ascii="Tahoma" w:eastAsia="Times New Roman" w:hAnsi="Tahoma" w:cs="Tahoma"/>
      <w:sz w:val="16"/>
      <w:szCs w:val="16"/>
    </w:rPr>
  </w:style>
  <w:style w:type="character" w:styleId="Hyperlink">
    <w:name w:val="Hyperlink"/>
    <w:basedOn w:val="DefaultParagraphFont"/>
    <w:uiPriority w:val="99"/>
    <w:unhideWhenUsed/>
    <w:rsid w:val="00BA3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7790">
      <w:bodyDiv w:val="1"/>
      <w:marLeft w:val="0"/>
      <w:marRight w:val="0"/>
      <w:marTop w:val="0"/>
      <w:marBottom w:val="0"/>
      <w:divBdr>
        <w:top w:val="none" w:sz="0" w:space="0" w:color="auto"/>
        <w:left w:val="none" w:sz="0" w:space="0" w:color="auto"/>
        <w:bottom w:val="none" w:sz="0" w:space="0" w:color="auto"/>
        <w:right w:val="none" w:sz="0" w:space="0" w:color="auto"/>
      </w:divBdr>
    </w:div>
    <w:div w:id="532184159">
      <w:bodyDiv w:val="1"/>
      <w:marLeft w:val="0"/>
      <w:marRight w:val="0"/>
      <w:marTop w:val="0"/>
      <w:marBottom w:val="0"/>
      <w:divBdr>
        <w:top w:val="none" w:sz="0" w:space="0" w:color="auto"/>
        <w:left w:val="none" w:sz="0" w:space="0" w:color="auto"/>
        <w:bottom w:val="none" w:sz="0" w:space="0" w:color="auto"/>
        <w:right w:val="none" w:sz="0" w:space="0" w:color="auto"/>
      </w:divBdr>
    </w:div>
    <w:div w:id="668561047">
      <w:bodyDiv w:val="1"/>
      <w:marLeft w:val="0"/>
      <w:marRight w:val="0"/>
      <w:marTop w:val="0"/>
      <w:marBottom w:val="0"/>
      <w:divBdr>
        <w:top w:val="none" w:sz="0" w:space="0" w:color="auto"/>
        <w:left w:val="none" w:sz="0" w:space="0" w:color="auto"/>
        <w:bottom w:val="none" w:sz="0" w:space="0" w:color="auto"/>
        <w:right w:val="none" w:sz="0" w:space="0" w:color="auto"/>
      </w:divBdr>
    </w:div>
    <w:div w:id="712467776">
      <w:bodyDiv w:val="1"/>
      <w:marLeft w:val="0"/>
      <w:marRight w:val="0"/>
      <w:marTop w:val="0"/>
      <w:marBottom w:val="0"/>
      <w:divBdr>
        <w:top w:val="none" w:sz="0" w:space="0" w:color="auto"/>
        <w:left w:val="none" w:sz="0" w:space="0" w:color="auto"/>
        <w:bottom w:val="none" w:sz="0" w:space="0" w:color="auto"/>
        <w:right w:val="none" w:sz="0" w:space="0" w:color="auto"/>
      </w:divBdr>
    </w:div>
    <w:div w:id="1017005249">
      <w:bodyDiv w:val="1"/>
      <w:marLeft w:val="0"/>
      <w:marRight w:val="0"/>
      <w:marTop w:val="0"/>
      <w:marBottom w:val="0"/>
      <w:divBdr>
        <w:top w:val="none" w:sz="0" w:space="0" w:color="auto"/>
        <w:left w:val="none" w:sz="0" w:space="0" w:color="auto"/>
        <w:bottom w:val="none" w:sz="0" w:space="0" w:color="auto"/>
        <w:right w:val="none" w:sz="0" w:space="0" w:color="auto"/>
      </w:divBdr>
    </w:div>
    <w:div w:id="1028411196">
      <w:bodyDiv w:val="1"/>
      <w:marLeft w:val="0"/>
      <w:marRight w:val="0"/>
      <w:marTop w:val="0"/>
      <w:marBottom w:val="0"/>
      <w:divBdr>
        <w:top w:val="none" w:sz="0" w:space="0" w:color="auto"/>
        <w:left w:val="none" w:sz="0" w:space="0" w:color="auto"/>
        <w:bottom w:val="none" w:sz="0" w:space="0" w:color="auto"/>
        <w:right w:val="none" w:sz="0" w:space="0" w:color="auto"/>
      </w:divBdr>
    </w:div>
    <w:div w:id="1509249596">
      <w:bodyDiv w:val="1"/>
      <w:marLeft w:val="0"/>
      <w:marRight w:val="0"/>
      <w:marTop w:val="0"/>
      <w:marBottom w:val="0"/>
      <w:divBdr>
        <w:top w:val="none" w:sz="0" w:space="0" w:color="auto"/>
        <w:left w:val="none" w:sz="0" w:space="0" w:color="auto"/>
        <w:bottom w:val="none" w:sz="0" w:space="0" w:color="auto"/>
        <w:right w:val="none" w:sz="0" w:space="0" w:color="auto"/>
      </w:divBdr>
    </w:div>
    <w:div w:id="1523468474">
      <w:bodyDiv w:val="1"/>
      <w:marLeft w:val="0"/>
      <w:marRight w:val="0"/>
      <w:marTop w:val="0"/>
      <w:marBottom w:val="0"/>
      <w:divBdr>
        <w:top w:val="none" w:sz="0" w:space="0" w:color="auto"/>
        <w:left w:val="none" w:sz="0" w:space="0" w:color="auto"/>
        <w:bottom w:val="none" w:sz="0" w:space="0" w:color="auto"/>
        <w:right w:val="none" w:sz="0" w:space="0" w:color="auto"/>
      </w:divBdr>
    </w:div>
    <w:div w:id="19702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184C-0938-4910-9192-22DD26B3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MBadmin</dc:creator>
  <cp:lastModifiedBy>Admin</cp:lastModifiedBy>
  <cp:revision>2</cp:revision>
  <dcterms:created xsi:type="dcterms:W3CDTF">2025-03-05T08:11:00Z</dcterms:created>
  <dcterms:modified xsi:type="dcterms:W3CDTF">2025-03-05T08:11:00Z</dcterms:modified>
</cp:coreProperties>
</file>