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98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200"/>
        <w:gridCol w:w="8788"/>
      </w:tblGrid>
      <w:tr w:rsidR="0022178F" w14:paraId="5B13879C" w14:textId="77777777">
        <w:tc>
          <w:tcPr>
            <w:tcW w:w="5200" w:type="dxa"/>
            <w:tcMar>
              <w:top w:w="60" w:type="dxa"/>
              <w:left w:w="100" w:type="dxa"/>
              <w:bottom w:w="60" w:type="dxa"/>
              <w:right w:w="100" w:type="dxa"/>
            </w:tcMar>
          </w:tcPr>
          <w:p w14:paraId="648D414C" w14:textId="77777777" w:rsidR="0022178F" w:rsidRDefault="008D7C4C">
            <w:pPr>
              <w:spacing w:line="300" w:lineRule="auto"/>
              <w:jc w:val="center"/>
            </w:pPr>
            <w:r>
              <w:rPr>
                <w:b/>
                <w:bCs/>
              </w:rPr>
              <w:t>CỤC KHOA HỌC CÔNG NGHỆ</w:t>
            </w:r>
          </w:p>
          <w:p w14:paraId="1A0EF952" w14:textId="6EB03C4C" w:rsidR="0022178F" w:rsidRDefault="00277C48">
            <w:pPr>
              <w:spacing w:line="300" w:lineRule="auto"/>
              <w:jc w:val="center"/>
            </w:pPr>
            <w:r>
              <w:rPr>
                <w:b/>
                <w:bCs/>
                <w:noProof/>
              </w:rPr>
              <mc:AlternateContent>
                <mc:Choice Requires="wps">
                  <w:drawing>
                    <wp:anchor distT="0" distB="0" distL="114300" distR="114300" simplePos="0" relativeHeight="251659264" behindDoc="0" locked="0" layoutInCell="1" allowOverlap="1" wp14:anchorId="7A06337B" wp14:editId="4B0F44AD">
                      <wp:simplePos x="0" y="0"/>
                      <wp:positionH relativeFrom="column">
                        <wp:posOffset>1149792</wp:posOffset>
                      </wp:positionH>
                      <wp:positionV relativeFrom="paragraph">
                        <wp:posOffset>237024</wp:posOffset>
                      </wp:positionV>
                      <wp:extent cx="873889" cy="0"/>
                      <wp:effectExtent l="0" t="0" r="0" b="0"/>
                      <wp:wrapNone/>
                      <wp:docPr id="662783845" name="Straight Connector 1"/>
                      <wp:cNvGraphicFramePr/>
                      <a:graphic xmlns:a="http://schemas.openxmlformats.org/drawingml/2006/main">
                        <a:graphicData uri="http://schemas.microsoft.com/office/word/2010/wordprocessingShape">
                          <wps:wsp>
                            <wps:cNvCnPr/>
                            <wps:spPr>
                              <a:xfrm>
                                <a:off x="0" y="0"/>
                                <a:ext cx="87388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AE478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0.55pt,18.65pt" to="159.3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" strokecolor="black [3213]" strokeweight="1pt">
                      <v:stroke joinstyle="miter"/>
                    </v:line>
                  </w:pict>
                </mc:Fallback>
              </mc:AlternateContent>
            </w:r>
            <w:r w:rsidR="008D7C4C">
              <w:rPr>
                <w:b/>
                <w:bCs/>
              </w:rPr>
              <w:t>VÀ ĐÀO TẠO</w:t>
            </w:r>
          </w:p>
        </w:tc>
        <w:tc>
          <w:tcPr>
            <w:tcW w:w="8788" w:type="dxa"/>
            <w:tcMar>
              <w:top w:w="60" w:type="dxa"/>
              <w:left w:w="100" w:type="dxa"/>
              <w:bottom w:w="60" w:type="dxa"/>
              <w:right w:w="100" w:type="dxa"/>
            </w:tcMar>
          </w:tcPr>
          <w:p w14:paraId="4B7F8A2B" w14:textId="77777777" w:rsidR="0022178F" w:rsidRDefault="008D7C4C">
            <w:pPr>
              <w:spacing w:line="300" w:lineRule="auto"/>
              <w:jc w:val="center"/>
            </w:pPr>
            <w:r>
              <w:rPr>
                <w:b/>
                <w:bCs/>
              </w:rPr>
              <w:t>CỘNG HÒA XÃ HỘI CHỦ NGHĨA VIỆT NAM</w:t>
            </w:r>
          </w:p>
          <w:p w14:paraId="76E4631E" w14:textId="0E721730" w:rsidR="0022178F" w:rsidRDefault="00277C48">
            <w:pPr>
              <w:spacing w:line="300" w:lineRule="auto"/>
              <w:jc w:val="center"/>
            </w:pPr>
            <w:r>
              <w:rPr>
                <w:b/>
                <w:bCs/>
                <w:noProof/>
              </w:rPr>
              <mc:AlternateContent>
                <mc:Choice Requires="wps">
                  <w:drawing>
                    <wp:anchor distT="0" distB="0" distL="114300" distR="114300" simplePos="0" relativeHeight="251660288" behindDoc="0" locked="0" layoutInCell="1" allowOverlap="1" wp14:anchorId="49F0527F" wp14:editId="585D9220">
                      <wp:simplePos x="0" y="0"/>
                      <wp:positionH relativeFrom="column">
                        <wp:posOffset>1736886</wp:posOffset>
                      </wp:positionH>
                      <wp:positionV relativeFrom="paragraph">
                        <wp:posOffset>202300</wp:posOffset>
                      </wp:positionV>
                      <wp:extent cx="1915610" cy="0"/>
                      <wp:effectExtent l="0" t="0" r="0" b="0"/>
                      <wp:wrapNone/>
                      <wp:docPr id="106904543" name="Straight Connector 2"/>
                      <wp:cNvGraphicFramePr/>
                      <a:graphic xmlns:a="http://schemas.openxmlformats.org/drawingml/2006/main">
                        <a:graphicData uri="http://schemas.microsoft.com/office/word/2010/wordprocessingShape">
                          <wps:wsp>
                            <wps:cNvCnPr/>
                            <wps:spPr>
                              <a:xfrm>
                                <a:off x="0" y="0"/>
                                <a:ext cx="19156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638C53"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36.75pt,15.95pt" to="287.6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" strokecolor="black [3213]" strokeweight="1pt">
                      <v:stroke joinstyle="miter"/>
                    </v:line>
                  </w:pict>
                </mc:Fallback>
              </mc:AlternateContent>
            </w:r>
            <w:r w:rsidR="008D7C4C">
              <w:rPr>
                <w:b/>
                <w:bCs/>
              </w:rPr>
              <w:t>Độc lập – Tự do – Hạnh phúc</w:t>
            </w:r>
          </w:p>
          <w:p w14:paraId="1208A2EF" w14:textId="77777777" w:rsidR="00277C48" w:rsidRDefault="00277C48">
            <w:pPr>
              <w:spacing w:line="300" w:lineRule="auto"/>
              <w:jc w:val="center"/>
              <w:rPr>
                <w:i/>
                <w:iCs/>
              </w:rPr>
            </w:pPr>
          </w:p>
          <w:p w14:paraId="32BB6B63" w14:textId="79897425" w:rsidR="0022178F" w:rsidRDefault="008D7C4C">
            <w:pPr>
              <w:spacing w:line="300" w:lineRule="auto"/>
              <w:jc w:val="center"/>
            </w:pPr>
            <w:r>
              <w:rPr>
                <w:i/>
                <w:iCs/>
              </w:rPr>
              <w:t xml:space="preserve">Hà Nội, ngày </w:t>
            </w:r>
            <w:r w:rsidR="00D47F41">
              <w:rPr>
                <w:i/>
                <w:iCs/>
              </w:rPr>
              <w:t>17</w:t>
            </w:r>
            <w:r>
              <w:rPr>
                <w:i/>
                <w:iCs/>
              </w:rPr>
              <w:t xml:space="preserve"> tháng </w:t>
            </w:r>
            <w:r w:rsidR="00D47F41">
              <w:rPr>
                <w:i/>
                <w:iCs/>
              </w:rPr>
              <w:t>9</w:t>
            </w:r>
            <w:r>
              <w:rPr>
                <w:i/>
                <w:iCs/>
              </w:rPr>
              <w:t xml:space="preserve"> năm 2026</w:t>
            </w:r>
          </w:p>
        </w:tc>
      </w:tr>
    </w:tbl>
    <w:p w14:paraId="174652ED" w14:textId="77777777" w:rsidR="0022178F" w:rsidRDefault="0022178F">
      <w:pPr>
        <w:spacing w:after="120" w:line="300" w:lineRule="auto"/>
        <w:jc w:val="both"/>
      </w:pPr>
    </w:p>
    <w:p w14:paraId="7FE80D1C" w14:textId="77777777" w:rsidR="0022178F" w:rsidRDefault="008D7C4C">
      <w:pPr>
        <w:spacing w:line="300" w:lineRule="auto"/>
        <w:jc w:val="center"/>
      </w:pPr>
      <w:r>
        <w:rPr>
          <w:b/>
          <w:bCs/>
        </w:rPr>
        <w:t>BẢN TỔNG HỢP Ý KIẾN, TIẾP THU, GIẢI TRÌNH Ý KIẾN GÓP Ý, PHẢN BIỆN XÃ HỘI</w:t>
      </w:r>
    </w:p>
    <w:p w14:paraId="044BE229" w14:textId="77777777" w:rsidR="0022178F" w:rsidRDefault="008D7C4C">
      <w:pPr>
        <w:spacing w:after="200" w:line="300" w:lineRule="auto"/>
        <w:jc w:val="center"/>
        <w:rPr>
          <w:b/>
          <w:bCs/>
        </w:rPr>
      </w:pPr>
      <w:r>
        <w:rPr>
          <w:b/>
          <w:bCs/>
        </w:rPr>
        <w:t>ĐỐI VỚI DỰ THẢO THÔNG TƯ THAY THẾ THÔNG TƯ SỐ 24/2023/TT-BYT</w:t>
      </w:r>
    </w:p>
    <w:p w14:paraId="46A59DD4" w14:textId="77777777" w:rsidR="00015EE7" w:rsidRDefault="00015EE7" w:rsidP="00015EE7">
      <w:pPr>
        <w:pBdr>
          <w:top w:val="nil"/>
          <w:left w:val="nil"/>
          <w:bottom w:val="nil"/>
          <w:right w:val="nil"/>
          <w:between w:val="nil"/>
        </w:pBdr>
        <w:spacing w:line="275" w:lineRule="auto"/>
        <w:ind w:firstLine="720"/>
        <w:jc w:val="both"/>
        <w:rPr>
          <w:rFonts w:eastAsia="Arial"/>
          <w:color w:val="1F1F1F"/>
          <w:lang w:val="vi-VN"/>
        </w:rPr>
      </w:pPr>
    </w:p>
    <w:p w14:paraId="4C070161" w14:textId="4676624A" w:rsidR="00015EE7" w:rsidRPr="00015EE7" w:rsidRDefault="00015EE7" w:rsidP="00015EE7">
      <w:pPr>
        <w:pBdr>
          <w:top w:val="nil"/>
          <w:left w:val="nil"/>
          <w:bottom w:val="nil"/>
          <w:right w:val="nil"/>
          <w:between w:val="nil"/>
        </w:pBdr>
        <w:spacing w:line="275" w:lineRule="auto"/>
        <w:ind w:firstLine="720"/>
        <w:jc w:val="both"/>
        <w:rPr>
          <w:color w:val="1F1F1F"/>
        </w:rPr>
      </w:pPr>
      <w:r w:rsidRPr="00015EE7">
        <w:rPr>
          <w:rFonts w:eastAsia="Arial"/>
          <w:color w:val="1F1F1F"/>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w:t>
      </w:r>
    </w:p>
    <w:p w14:paraId="43CCCA45" w14:textId="77777777" w:rsidR="00015EE7" w:rsidRPr="00015EE7" w:rsidRDefault="00015EE7" w:rsidP="00015EE7">
      <w:pPr>
        <w:pBdr>
          <w:top w:val="nil"/>
          <w:left w:val="nil"/>
          <w:bottom w:val="nil"/>
          <w:right w:val="nil"/>
          <w:between w:val="nil"/>
        </w:pBdr>
        <w:spacing w:line="275" w:lineRule="auto"/>
        <w:ind w:firstLine="720"/>
        <w:jc w:val="both"/>
        <w:rPr>
          <w:color w:val="1F1F1F"/>
        </w:rPr>
      </w:pPr>
      <w:r w:rsidRPr="00015EE7">
        <w:rPr>
          <w:rFonts w:eastAsia="Arial"/>
          <w:color w:val="1F1F1F"/>
        </w:rPr>
        <w:t>Căn cứ Quyết định số 2850/QĐ-BYT ngày 10 tháng 9 năm 2025 của Bộ trưởng Bộ Y tế ban hành Quy chế xây dựng, ban hành văn bản quy phạm pháp luật của Bộ Y tế;</w:t>
      </w:r>
    </w:p>
    <w:p w14:paraId="22787F5A" w14:textId="77777777" w:rsidR="00015EE7" w:rsidRPr="00015EE7" w:rsidRDefault="00015EE7" w:rsidP="00015EE7">
      <w:pPr>
        <w:pBdr>
          <w:top w:val="nil"/>
          <w:left w:val="nil"/>
          <w:bottom w:val="nil"/>
          <w:right w:val="nil"/>
          <w:between w:val="nil"/>
        </w:pBdr>
        <w:spacing w:line="275" w:lineRule="auto"/>
        <w:ind w:firstLine="720"/>
        <w:jc w:val="both"/>
        <w:rPr>
          <w:color w:val="1F1F1F"/>
        </w:rPr>
      </w:pPr>
      <w:r w:rsidRPr="00015EE7">
        <w:rPr>
          <w:rFonts w:eastAsia="Arial"/>
          <w:color w:val="1F1F1F"/>
        </w:rPr>
        <w:t>Cục Khoa học công nghệ và Đào tạo đã gửi văn bản lấy ý kiến góp ý đối với hồ sơ dự thảo Thông tư tới 70 cơ quan, đơn vị có liên quan; đồng thời đăng tải toàn văn hồ sơ dự thảo trên Cổng Thông tin điện tử Chính phủ và Cổng Thông tin điện tử Bộ Y tế trong thời hạn 60 ngày để lấy ý kiến rộng rãi của các tổ chức, cá nhân theo đúng quy định.</w:t>
      </w:r>
    </w:p>
    <w:p w14:paraId="03BA61B6" w14:textId="77777777" w:rsidR="00015EE7" w:rsidRPr="00015EE7" w:rsidRDefault="00015EE7" w:rsidP="00015EE7">
      <w:pPr>
        <w:pBdr>
          <w:top w:val="nil"/>
          <w:left w:val="nil"/>
          <w:bottom w:val="nil"/>
          <w:right w:val="nil"/>
          <w:between w:val="nil"/>
        </w:pBdr>
        <w:spacing w:line="275" w:lineRule="auto"/>
        <w:ind w:firstLine="590"/>
        <w:jc w:val="both"/>
        <w:rPr>
          <w:color w:val="1F1F1F"/>
        </w:rPr>
      </w:pPr>
      <w:r w:rsidRPr="00015EE7">
        <w:rPr>
          <w:rFonts w:eastAsia="Arial"/>
          <w:color w:val="1F1F1F"/>
        </w:rPr>
        <w:t xml:space="preserve">Tính đến thời điểm tổng hợp, Cục Khoa học công nghệ và Đào tạo đã nhận được văn bản góp ý của </w:t>
      </w:r>
      <w:r w:rsidRPr="00015EE7">
        <w:rPr>
          <w:rFonts w:eastAsia="Arial"/>
          <w:b/>
          <w:bCs/>
          <w:color w:val="1F1F1F"/>
        </w:rPr>
        <w:t>40 cơ quan, đơn vị</w:t>
      </w:r>
      <w:r w:rsidRPr="00015EE7">
        <w:rPr>
          <w:rFonts w:eastAsia="Arial"/>
          <w:color w:val="1F1F1F"/>
        </w:rPr>
        <w:t xml:space="preserve"> (với </w:t>
      </w:r>
      <w:r w:rsidRPr="00015EE7">
        <w:rPr>
          <w:rFonts w:eastAsia="Arial"/>
          <w:b/>
          <w:bCs/>
          <w:color w:val="1F1F1F"/>
        </w:rPr>
        <w:t>43 văn bản góp ý</w:t>
      </w:r>
      <w:r w:rsidRPr="00015EE7">
        <w:rPr>
          <w:rFonts w:eastAsia="Arial"/>
          <w:color w:val="1F1F1F"/>
        </w:rPr>
        <w:t>). Trong đó:</w:t>
      </w:r>
    </w:p>
    <w:p w14:paraId="20433792" w14:textId="77777777" w:rsidR="00015EE7" w:rsidRPr="00015EE7" w:rsidRDefault="00015EE7" w:rsidP="00015EE7">
      <w:pPr>
        <w:widowControl w:val="0"/>
        <w:numPr>
          <w:ilvl w:val="0"/>
          <w:numId w:val="3"/>
        </w:numPr>
        <w:pBdr>
          <w:top w:val="nil"/>
          <w:left w:val="nil"/>
          <w:bottom w:val="nil"/>
          <w:right w:val="nil"/>
          <w:between w:val="nil"/>
        </w:pBdr>
        <w:spacing w:line="275" w:lineRule="auto"/>
        <w:jc w:val="both"/>
      </w:pPr>
      <w:r w:rsidRPr="00015EE7">
        <w:rPr>
          <w:rFonts w:eastAsia="Arial"/>
          <w:color w:val="1F1F1F"/>
        </w:rPr>
        <w:t>17 cơ quan, đơn vị hoàn toàn nhất trí, không có ý kiến bổ sung.</w:t>
      </w:r>
    </w:p>
    <w:p w14:paraId="4DB79535" w14:textId="77777777" w:rsidR="00015EE7" w:rsidRPr="00015EE7" w:rsidRDefault="00015EE7" w:rsidP="00015EE7">
      <w:pPr>
        <w:widowControl w:val="0"/>
        <w:numPr>
          <w:ilvl w:val="0"/>
          <w:numId w:val="3"/>
        </w:numPr>
        <w:pBdr>
          <w:top w:val="nil"/>
          <w:left w:val="nil"/>
          <w:bottom w:val="nil"/>
          <w:right w:val="nil"/>
          <w:between w:val="nil"/>
        </w:pBdr>
        <w:spacing w:line="275" w:lineRule="auto"/>
        <w:jc w:val="both"/>
      </w:pPr>
      <w:r w:rsidRPr="00015EE7">
        <w:rPr>
          <w:rFonts w:eastAsia="Arial"/>
          <w:color w:val="1F1F1F"/>
        </w:rPr>
        <w:t>23 cơ quan, đơn vị có ý kiến góp ý cụ thể vào các điều, khoản và nội dung chuyên môn của dự thảo.</w:t>
      </w:r>
    </w:p>
    <w:p w14:paraId="16E402CD" w14:textId="77777777" w:rsidR="00015EE7" w:rsidRPr="00015EE7" w:rsidRDefault="00015EE7" w:rsidP="00015EE7">
      <w:pPr>
        <w:pBdr>
          <w:top w:val="nil"/>
          <w:left w:val="nil"/>
          <w:bottom w:val="nil"/>
          <w:right w:val="nil"/>
          <w:between w:val="nil"/>
        </w:pBdr>
        <w:spacing w:line="275" w:lineRule="auto"/>
        <w:ind w:firstLine="590"/>
        <w:jc w:val="both"/>
        <w:rPr>
          <w:color w:val="1F1F1F"/>
        </w:rPr>
      </w:pPr>
      <w:r w:rsidRPr="00015EE7">
        <w:rPr>
          <w:rFonts w:eastAsia="Arial"/>
          <w:color w:val="1F1F1F"/>
        </w:rPr>
        <w:t>Cục Khoa học công nghệ và Đào tạo tổng hợp, tiếp thu và giải trình chi tiết theo nhóm vấn đề và kết cấu của dự thảo văn bản như sau:</w:t>
      </w:r>
    </w:p>
    <w:p w14:paraId="6A8109DC" w14:textId="77777777" w:rsidR="00015EE7" w:rsidRPr="00015EE7" w:rsidRDefault="00015EE7" w:rsidP="00015EE7">
      <w:pPr>
        <w:pBdr>
          <w:top w:val="nil"/>
          <w:left w:val="nil"/>
          <w:bottom w:val="nil"/>
          <w:right w:val="nil"/>
          <w:between w:val="nil"/>
        </w:pBdr>
        <w:spacing w:line="275" w:lineRule="auto"/>
        <w:rPr>
          <w:color w:val="1F1F1F"/>
        </w:rPr>
      </w:pPr>
    </w:p>
    <w:tbl>
      <w:tblPr>
        <w:tblStyle w:val="TableGrid"/>
        <w:tblW w:w="5000" w:type="pct"/>
        <w:tblLook w:val="0600" w:firstRow="0" w:lastRow="0" w:firstColumn="0" w:lastColumn="0" w:noHBand="1" w:noVBand="1"/>
      </w:tblPr>
      <w:tblGrid>
        <w:gridCol w:w="1270"/>
        <w:gridCol w:w="4395"/>
        <w:gridCol w:w="4252"/>
        <w:gridCol w:w="4352"/>
      </w:tblGrid>
      <w:tr w:rsidR="00015EE7" w:rsidRPr="00015EE7" w14:paraId="1B08E0BC" w14:textId="77777777" w:rsidTr="00015EE7">
        <w:tc>
          <w:tcPr>
            <w:tcW w:w="445" w:type="pct"/>
          </w:tcPr>
          <w:p w14:paraId="73643807" w14:textId="77777777" w:rsidR="00015EE7" w:rsidRPr="00015EE7" w:rsidRDefault="00015EE7" w:rsidP="00015EE7">
            <w:pPr>
              <w:pBdr>
                <w:top w:val="nil"/>
                <w:left w:val="nil"/>
                <w:bottom w:val="nil"/>
                <w:right w:val="nil"/>
                <w:between w:val="nil"/>
              </w:pBdr>
              <w:spacing w:before="120" w:after="120" w:line="275" w:lineRule="auto"/>
              <w:jc w:val="center"/>
              <w:rPr>
                <w:b/>
                <w:bCs/>
                <w:color w:val="1F1F1F"/>
              </w:rPr>
            </w:pPr>
            <w:r w:rsidRPr="00015EE7">
              <w:rPr>
                <w:rFonts w:eastAsia="Arial"/>
                <w:b/>
                <w:bCs/>
                <w:color w:val="1F1F1F"/>
              </w:rPr>
              <w:lastRenderedPageBreak/>
              <w:t>STT / Điều, khoản</w:t>
            </w:r>
          </w:p>
        </w:tc>
        <w:tc>
          <w:tcPr>
            <w:tcW w:w="1540" w:type="pct"/>
          </w:tcPr>
          <w:p w14:paraId="66C64F17" w14:textId="77777777" w:rsidR="00015EE7" w:rsidRPr="00015EE7" w:rsidRDefault="00015EE7" w:rsidP="00015EE7">
            <w:pPr>
              <w:pBdr>
                <w:top w:val="nil"/>
                <w:left w:val="nil"/>
                <w:bottom w:val="nil"/>
                <w:right w:val="nil"/>
                <w:between w:val="nil"/>
              </w:pBdr>
              <w:spacing w:before="120" w:after="120" w:line="275" w:lineRule="auto"/>
              <w:jc w:val="center"/>
              <w:rPr>
                <w:b/>
                <w:bCs/>
                <w:color w:val="1F1F1F"/>
              </w:rPr>
            </w:pPr>
            <w:r w:rsidRPr="00015EE7">
              <w:rPr>
                <w:rFonts w:eastAsia="Arial"/>
                <w:b/>
                <w:bCs/>
                <w:color w:val="1F1F1F"/>
              </w:rPr>
              <w:t>Nội dung góp ý</w:t>
            </w:r>
          </w:p>
        </w:tc>
        <w:tc>
          <w:tcPr>
            <w:tcW w:w="1490" w:type="pct"/>
          </w:tcPr>
          <w:p w14:paraId="60D50A6F" w14:textId="77777777" w:rsidR="00015EE7" w:rsidRPr="00015EE7" w:rsidRDefault="00015EE7" w:rsidP="00015EE7">
            <w:pPr>
              <w:pBdr>
                <w:top w:val="nil"/>
                <w:left w:val="nil"/>
                <w:bottom w:val="nil"/>
                <w:right w:val="nil"/>
                <w:between w:val="nil"/>
              </w:pBdr>
              <w:spacing w:before="120" w:after="120" w:line="275" w:lineRule="auto"/>
              <w:jc w:val="center"/>
              <w:rPr>
                <w:b/>
                <w:bCs/>
                <w:color w:val="1F1F1F"/>
              </w:rPr>
            </w:pPr>
            <w:r w:rsidRPr="00015EE7">
              <w:rPr>
                <w:rFonts w:eastAsia="Arial"/>
                <w:b/>
                <w:bCs/>
                <w:color w:val="1F1F1F"/>
              </w:rPr>
              <w:t>Chủ thể góp ý</w:t>
            </w:r>
          </w:p>
        </w:tc>
        <w:tc>
          <w:tcPr>
            <w:tcW w:w="1525" w:type="pct"/>
          </w:tcPr>
          <w:p w14:paraId="67FE1F6F" w14:textId="77777777" w:rsidR="00015EE7" w:rsidRPr="00015EE7" w:rsidRDefault="00015EE7" w:rsidP="00015EE7">
            <w:pPr>
              <w:pBdr>
                <w:top w:val="nil"/>
                <w:left w:val="nil"/>
                <w:bottom w:val="nil"/>
                <w:right w:val="nil"/>
                <w:between w:val="nil"/>
              </w:pBdr>
              <w:spacing w:before="120" w:after="120" w:line="275" w:lineRule="auto"/>
              <w:jc w:val="center"/>
              <w:rPr>
                <w:b/>
                <w:bCs/>
                <w:color w:val="1F1F1F"/>
              </w:rPr>
            </w:pPr>
            <w:r w:rsidRPr="00015EE7">
              <w:rPr>
                <w:rFonts w:eastAsia="Arial"/>
                <w:b/>
                <w:bCs/>
                <w:color w:val="1F1F1F"/>
              </w:rPr>
              <w:t>Ý kiến tiếp thu, giải trình của cơ quan chủ trì soạn thảo</w:t>
            </w:r>
          </w:p>
        </w:tc>
      </w:tr>
      <w:tr w:rsidR="00015EE7" w:rsidRPr="00015EE7" w14:paraId="1C58DD0D" w14:textId="77777777" w:rsidTr="00015EE7">
        <w:tc>
          <w:tcPr>
            <w:tcW w:w="445" w:type="pct"/>
          </w:tcPr>
          <w:p w14:paraId="3EA245FE" w14:textId="77777777" w:rsidR="00015EE7" w:rsidRPr="00015EE7" w:rsidRDefault="00015EE7" w:rsidP="00FF7C3F">
            <w:pPr>
              <w:pBdr>
                <w:top w:val="nil"/>
                <w:left w:val="nil"/>
                <w:bottom w:val="nil"/>
                <w:right w:val="nil"/>
                <w:between w:val="nil"/>
              </w:pBdr>
              <w:spacing w:before="120" w:after="120" w:line="275" w:lineRule="auto"/>
              <w:rPr>
                <w:b/>
                <w:bCs/>
                <w:color w:val="1F1F1F"/>
              </w:rPr>
            </w:pPr>
            <w:r w:rsidRPr="00015EE7">
              <w:rPr>
                <w:rFonts w:eastAsia="Arial"/>
                <w:b/>
                <w:bCs/>
                <w:color w:val="1F1F1F"/>
              </w:rPr>
              <w:t>I</w:t>
            </w:r>
          </w:p>
        </w:tc>
        <w:tc>
          <w:tcPr>
            <w:tcW w:w="4555" w:type="pct"/>
            <w:gridSpan w:val="3"/>
          </w:tcPr>
          <w:p w14:paraId="3B1B2B4C" w14:textId="60AA635A" w:rsidR="00015EE7" w:rsidRPr="00015EE7" w:rsidRDefault="00015EE7" w:rsidP="00FF7C3F">
            <w:pPr>
              <w:pBdr>
                <w:top w:val="nil"/>
                <w:left w:val="nil"/>
                <w:bottom w:val="nil"/>
                <w:right w:val="nil"/>
                <w:between w:val="nil"/>
              </w:pBdr>
              <w:spacing w:line="276" w:lineRule="auto"/>
              <w:rPr>
                <w:b/>
                <w:bCs/>
                <w:color w:val="1F1F1F"/>
              </w:rPr>
            </w:pPr>
            <w:r w:rsidRPr="00015EE7">
              <w:rPr>
                <w:rFonts w:eastAsia="Arial"/>
                <w:b/>
                <w:bCs/>
                <w:color w:val="1F1F1F"/>
              </w:rPr>
              <w:t>NHỮNG Ý KIẾN CHUNG VỀ SỰ CẦN THIẾT VÀ TOÀN VĂN DỰ THẢO</w:t>
            </w:r>
          </w:p>
        </w:tc>
      </w:tr>
      <w:tr w:rsidR="00015EE7" w:rsidRPr="00015EE7" w14:paraId="29E096B9" w14:textId="77777777" w:rsidTr="00015EE7">
        <w:tc>
          <w:tcPr>
            <w:tcW w:w="445" w:type="pct"/>
          </w:tcPr>
          <w:p w14:paraId="1824F86B"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t>1</w:t>
            </w:r>
          </w:p>
        </w:tc>
        <w:tc>
          <w:tcPr>
            <w:tcW w:w="1540" w:type="pct"/>
          </w:tcPr>
          <w:p w14:paraId="5D5AD94A"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t>Nhất trí hoàn toàn với sự cần thiết ban hành và toàn văn nội dung dự thảo Thông tư; không có ý kiến bổ sung thêm.</w:t>
            </w:r>
          </w:p>
        </w:tc>
        <w:tc>
          <w:tcPr>
            <w:tcW w:w="1490" w:type="pct"/>
          </w:tcPr>
          <w:p w14:paraId="014EE379"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xml:space="preserve">17 đơn vị: Cục Bảo trợ xã hội, Cục Dân số, Viện SR-KST-CT Quy Nhơn, Viện Vắc xin và Sinh phẩm y tế, BV Trung ương </w:t>
            </w:r>
            <w:proofErr w:type="spellStart"/>
            <w:r w:rsidRPr="00015EE7">
              <w:rPr>
                <w:rFonts w:eastAsia="Arial"/>
                <w:color w:val="1F1F1F"/>
              </w:rPr>
              <w:t>Huế</w:t>
            </w:r>
            <w:proofErr w:type="spellEnd"/>
            <w:r w:rsidRPr="00015EE7">
              <w:rPr>
                <w:rFonts w:eastAsia="Arial"/>
                <w:color w:val="1F1F1F"/>
              </w:rPr>
              <w:t xml:space="preserve">, BV Da liễu Trung ương, BV Trung ương Thái Nguyên, BV Thống Nhất, BV Châm cứu TW, BV Chỉnh hình &amp; PHCN Quy Nhơn, BV Chỉnh hình &amp; PHCN Đà </w:t>
            </w:r>
            <w:proofErr w:type="spellStart"/>
            <w:r w:rsidRPr="00015EE7">
              <w:rPr>
                <w:rFonts w:eastAsia="Arial"/>
                <w:color w:val="1F1F1F"/>
              </w:rPr>
              <w:t>Nẵng</w:t>
            </w:r>
            <w:proofErr w:type="spellEnd"/>
            <w:r w:rsidRPr="00015EE7">
              <w:rPr>
                <w:rFonts w:eastAsia="Arial"/>
                <w:color w:val="1F1F1F"/>
              </w:rPr>
              <w:t>, BV Bệnh Nhiệt đới TW, BV Phụ sản TW, BV Răng Hàm Mặt TW HN, BV Tâm thần TW 2, Trường ĐH KTYT Hải Dương, Quỹ Bảo trợ trẻ em VN.</w:t>
            </w:r>
          </w:p>
        </w:tc>
        <w:tc>
          <w:tcPr>
            <w:tcW w:w="1525" w:type="pct"/>
          </w:tcPr>
          <w:p w14:paraId="4A794889"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 ghi nhận:</w:t>
            </w:r>
            <w:r w:rsidRPr="00015EE7">
              <w:rPr>
                <w:rFonts w:eastAsia="Arial"/>
                <w:color w:val="1F1F1F"/>
              </w:rPr>
              <w:t xml:space="preserve"> Cơ quan soạn thảo trân trọng cảm ơn sự thống nhất, đồng thuận cao của các cơ quan, đơn vị.</w:t>
            </w:r>
          </w:p>
        </w:tc>
      </w:tr>
      <w:tr w:rsidR="00015EE7" w:rsidRPr="00015EE7" w14:paraId="1F5A5E96" w14:textId="77777777" w:rsidTr="00015EE7">
        <w:tc>
          <w:tcPr>
            <w:tcW w:w="445" w:type="pct"/>
          </w:tcPr>
          <w:p w14:paraId="28030C2D"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t>2</w:t>
            </w:r>
          </w:p>
        </w:tc>
        <w:tc>
          <w:tcPr>
            <w:tcW w:w="1540" w:type="pct"/>
          </w:tcPr>
          <w:p w14:paraId="17F6F371"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Đánh giá chung: Dự thảo Thông tư có kết cấu hợp lý, cập nhật các định hướng đổi mới, bám sát Luật KHCN&amp;ĐMST năm 2025, Nghị định số 267/2025/NĐ-CP và khung biểu mẫu của Bộ KH&amp;CN; chuyển từ phương thức nhiệm vụ cấp Bộ sang đặt hàng và tài trợ.</w:t>
            </w:r>
          </w:p>
        </w:tc>
        <w:tc>
          <w:tcPr>
            <w:tcW w:w="1490" w:type="pct"/>
          </w:tcPr>
          <w:p w14:paraId="77E5E866"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Viện Vệ sinh dịch tễ TW, Viện Vệ sinh dịch tễ Tây Nguyên, Trung tâm Điều phối QG về ghép bộ phận cơ thể người, BV Đại học Y Thái Bình, BV Da liễu TW.</w:t>
            </w:r>
          </w:p>
        </w:tc>
        <w:tc>
          <w:tcPr>
            <w:tcW w:w="1525" w:type="pct"/>
          </w:tcPr>
          <w:p w14:paraId="4A1193A8"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 ghi nhận:</w:t>
            </w:r>
            <w:r w:rsidRPr="00015EE7">
              <w:rPr>
                <w:rFonts w:eastAsia="Arial"/>
                <w:color w:val="1F1F1F"/>
              </w:rPr>
              <w:t xml:space="preserve"> Cơ quan soạn thảo tiếp thu để tiếp tục hoàn thiện, chuẩn hóa dự thảo.</w:t>
            </w:r>
          </w:p>
        </w:tc>
      </w:tr>
      <w:tr w:rsidR="00015EE7" w:rsidRPr="00015EE7" w14:paraId="67D81F9D" w14:textId="77777777" w:rsidTr="00015EE7">
        <w:tc>
          <w:tcPr>
            <w:tcW w:w="445" w:type="pct"/>
          </w:tcPr>
          <w:p w14:paraId="68EB7010"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t>3</w:t>
            </w:r>
          </w:p>
        </w:tc>
        <w:tc>
          <w:tcPr>
            <w:tcW w:w="1540" w:type="pct"/>
          </w:tcPr>
          <w:p w14:paraId="2B371245"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xml:space="preserve">Đề nghị bổ sung Báo cáo tổng kết đánh giá việc thi hành Thông tư số </w:t>
            </w:r>
            <w:r w:rsidRPr="00015EE7">
              <w:rPr>
                <w:rFonts w:eastAsia="Arial"/>
                <w:color w:val="1F1F1F"/>
              </w:rPr>
              <w:lastRenderedPageBreak/>
              <w:t>24/2023/TT-BYT giai đoạn 2023 - 2025 vào hồ sơ dự thảo để làm rõ cơ sở thực tiễn.</w:t>
            </w:r>
          </w:p>
        </w:tc>
        <w:tc>
          <w:tcPr>
            <w:tcW w:w="1490" w:type="pct"/>
          </w:tcPr>
          <w:p w14:paraId="7AC4AF97"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lastRenderedPageBreak/>
              <w:t>Vụ Bảo hiểm y tế</w:t>
            </w:r>
          </w:p>
        </w:tc>
        <w:tc>
          <w:tcPr>
            <w:tcW w:w="1525" w:type="pct"/>
          </w:tcPr>
          <w:p w14:paraId="66911B7B"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Cơ quan soạn thảo đã xây dựng Báo cáo tổng kết thi hành Thông </w:t>
            </w:r>
            <w:r w:rsidRPr="00015EE7">
              <w:rPr>
                <w:rFonts w:eastAsia="Arial"/>
                <w:color w:val="1F1F1F"/>
              </w:rPr>
              <w:lastRenderedPageBreak/>
              <w:t>tư số 24/2023/TT-BYT và đính kèm đầy đủ trong hồ sơ trình theo quy định.</w:t>
            </w:r>
          </w:p>
        </w:tc>
      </w:tr>
      <w:tr w:rsidR="00015EE7" w:rsidRPr="00015EE7" w14:paraId="3FE85DF5" w14:textId="77777777" w:rsidTr="00015EE7">
        <w:tc>
          <w:tcPr>
            <w:tcW w:w="445" w:type="pct"/>
          </w:tcPr>
          <w:p w14:paraId="6941B362" w14:textId="77777777" w:rsidR="00015EE7" w:rsidRPr="00015EE7" w:rsidRDefault="00015EE7" w:rsidP="00FF7C3F">
            <w:pPr>
              <w:pBdr>
                <w:top w:val="nil"/>
                <w:left w:val="nil"/>
                <w:bottom w:val="nil"/>
                <w:right w:val="nil"/>
                <w:between w:val="nil"/>
              </w:pBdr>
              <w:spacing w:before="120" w:after="120" w:line="275" w:lineRule="auto"/>
              <w:rPr>
                <w:b/>
                <w:bCs/>
                <w:color w:val="1F1F1F"/>
              </w:rPr>
            </w:pPr>
            <w:r w:rsidRPr="00015EE7">
              <w:rPr>
                <w:rFonts w:eastAsia="Arial"/>
                <w:b/>
                <w:bCs/>
                <w:color w:val="1F1F1F"/>
              </w:rPr>
              <w:lastRenderedPageBreak/>
              <w:t>II</w:t>
            </w:r>
          </w:p>
        </w:tc>
        <w:tc>
          <w:tcPr>
            <w:tcW w:w="4555" w:type="pct"/>
            <w:gridSpan w:val="3"/>
          </w:tcPr>
          <w:p w14:paraId="68D148F2" w14:textId="7C07A97A" w:rsidR="00015EE7" w:rsidRPr="00015EE7" w:rsidRDefault="00015EE7" w:rsidP="00FF7C3F">
            <w:pPr>
              <w:pBdr>
                <w:top w:val="nil"/>
                <w:left w:val="nil"/>
                <w:bottom w:val="nil"/>
                <w:right w:val="nil"/>
                <w:between w:val="nil"/>
              </w:pBdr>
              <w:spacing w:line="276" w:lineRule="auto"/>
              <w:rPr>
                <w:b/>
                <w:bCs/>
                <w:color w:val="1F1F1F"/>
              </w:rPr>
            </w:pPr>
            <w:r w:rsidRPr="00015EE7">
              <w:rPr>
                <w:rFonts w:eastAsia="Arial"/>
                <w:b/>
                <w:bCs/>
                <w:color w:val="1F1F1F"/>
              </w:rPr>
              <w:t>CĂN CỨ PHÁP LÝ VÀ TÊN GỌI DỰ THẢO THÔNG TƯ</w:t>
            </w:r>
          </w:p>
        </w:tc>
      </w:tr>
      <w:tr w:rsidR="00015EE7" w:rsidRPr="00015EE7" w14:paraId="1BB73C61" w14:textId="77777777" w:rsidTr="00015EE7">
        <w:tc>
          <w:tcPr>
            <w:tcW w:w="445" w:type="pct"/>
          </w:tcPr>
          <w:p w14:paraId="50694503"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t>4</w:t>
            </w:r>
          </w:p>
        </w:tc>
        <w:tc>
          <w:tcPr>
            <w:tcW w:w="1540" w:type="pct"/>
          </w:tcPr>
          <w:p w14:paraId="71896917"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Thuyết minh rõ căn cứ pháp lý tại Tờ trình (đặc biệt là Điều 51 Nghị định 267/2025/NĐ-CP).</w:t>
            </w:r>
          </w:p>
          <w:p w14:paraId="3F9191DD" w14:textId="77777777" w:rsidR="00015EE7" w:rsidRPr="00015EE7" w:rsidRDefault="00015EE7" w:rsidP="00FF7C3F">
            <w:pPr>
              <w:pBdr>
                <w:top w:val="nil"/>
                <w:left w:val="nil"/>
                <w:bottom w:val="nil"/>
                <w:right w:val="nil"/>
                <w:between w:val="nil"/>
              </w:pBdr>
              <w:spacing w:line="275" w:lineRule="auto"/>
              <w:rPr>
                <w:color w:val="1F1F1F"/>
              </w:rPr>
            </w:pPr>
          </w:p>
          <w:p w14:paraId="4E95A486"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Về các Nghị định viện dẫn: bỏ thời gian ban hành; rà soát căn cứ Nghị định số 313/2026/NĐ-CP thay cho Nghị định số 131 cũ.</w:t>
            </w:r>
          </w:p>
          <w:p w14:paraId="5DD58F54" w14:textId="77777777" w:rsidR="00015EE7" w:rsidRPr="00015EE7" w:rsidRDefault="00015EE7" w:rsidP="00FF7C3F">
            <w:pPr>
              <w:pBdr>
                <w:top w:val="nil"/>
                <w:left w:val="nil"/>
                <w:bottom w:val="nil"/>
                <w:right w:val="nil"/>
                <w:between w:val="nil"/>
              </w:pBdr>
              <w:spacing w:line="275" w:lineRule="auto"/>
              <w:rPr>
                <w:color w:val="1F1F1F"/>
              </w:rPr>
            </w:pPr>
          </w:p>
          <w:p w14:paraId="64E883DF"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Bỏ các Thông tư của các bộ khác tại phần Căn cứ ban hành theo Điều 62 Nghị định số 78/2025/NĐ-CP.</w:t>
            </w:r>
          </w:p>
        </w:tc>
        <w:tc>
          <w:tcPr>
            <w:tcW w:w="1490" w:type="pct"/>
          </w:tcPr>
          <w:p w14:paraId="4717F39A"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Vụ Pháp chế, Viện KSATVSTP Quốc gia</w:t>
            </w:r>
          </w:p>
        </w:tc>
        <w:tc>
          <w:tcPr>
            <w:tcW w:w="1525" w:type="pct"/>
          </w:tcPr>
          <w:p w14:paraId="7CE942DE"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Đã bổ sung Điều 51 Nghị định 267/2025/NĐ-CP tại Tờ trình; rà soát bỏ các Thông tư của bộ khác tại phần Căn cứ ban hành theo đúng Điều 62 Nghị định 78/2025/NĐ-CP; cập nhật Nghị định số 313/2026/NĐ-CP của Chính phủ.</w:t>
            </w:r>
          </w:p>
        </w:tc>
      </w:tr>
      <w:tr w:rsidR="00015EE7" w:rsidRPr="00015EE7" w14:paraId="55269CE9" w14:textId="77777777" w:rsidTr="00015EE7">
        <w:tc>
          <w:tcPr>
            <w:tcW w:w="445" w:type="pct"/>
          </w:tcPr>
          <w:p w14:paraId="5F942722"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t>5</w:t>
            </w:r>
          </w:p>
        </w:tc>
        <w:tc>
          <w:tcPr>
            <w:tcW w:w="1540" w:type="pct"/>
          </w:tcPr>
          <w:p w14:paraId="51AE31A5"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Đề nghị bổ sung thêm Luật Khám bệnh, chữa bệnh số 15/2023/QH15 và Nghị định số 96/2023/NĐ-CP vào phần căn cứ ban hành.</w:t>
            </w:r>
          </w:p>
        </w:tc>
        <w:tc>
          <w:tcPr>
            <w:tcW w:w="1490" w:type="pct"/>
          </w:tcPr>
          <w:p w14:paraId="22B36F2B"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BV Đại học Y Thái Bình</w:t>
            </w:r>
          </w:p>
        </w:tc>
        <w:tc>
          <w:tcPr>
            <w:tcW w:w="1525" w:type="pct"/>
          </w:tcPr>
          <w:p w14:paraId="58BC917F"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Giải trình (Bảo lưu):</w:t>
            </w:r>
            <w:r w:rsidRPr="00015EE7">
              <w:rPr>
                <w:rFonts w:eastAsia="Arial"/>
                <w:color w:val="1F1F1F"/>
              </w:rPr>
              <w:t xml:space="preserve"> Thông tư này là văn bản hướng dẫn chuyên ngành về quản lý nhiệm vụ KH, CN &amp; ĐMST theo thẩm quyền giao tại Luật KHCN&amp;ĐMST 2025 và Nghị định 267/2025/NĐ-CP. Các quy định của Luật Khám bệnh, chữa bệnh được dẫn chiếu trực tiếp tại các điều khoản chuyên môn (Điều 21).</w:t>
            </w:r>
          </w:p>
        </w:tc>
      </w:tr>
      <w:tr w:rsidR="00015EE7" w:rsidRPr="00015EE7" w14:paraId="4546870C" w14:textId="77777777" w:rsidTr="00015EE7">
        <w:tc>
          <w:tcPr>
            <w:tcW w:w="445" w:type="pct"/>
          </w:tcPr>
          <w:p w14:paraId="455E8670"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lastRenderedPageBreak/>
              <w:t>6</w:t>
            </w:r>
          </w:p>
        </w:tc>
        <w:tc>
          <w:tcPr>
            <w:tcW w:w="1540" w:type="pct"/>
          </w:tcPr>
          <w:p w14:paraId="565850D3"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Thống nhất tên gọi Thông tư và phần căn cứ ban hành, ghi rõ: "Thông tư quy định về quản lý nhiệm vụ khoa học, công nghệ và đổi mới sáng tạo thuộc trách nhiệm quản lý của Bộ Y tế".</w:t>
            </w:r>
          </w:p>
        </w:tc>
        <w:tc>
          <w:tcPr>
            <w:tcW w:w="1490" w:type="pct"/>
          </w:tcPr>
          <w:p w14:paraId="15219C33"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Vụ Pháp chế, BV Trung ương Thái Nguyên, Trường ĐH Điều dưỡng Nam Định</w:t>
            </w:r>
          </w:p>
        </w:tc>
        <w:tc>
          <w:tcPr>
            <w:tcW w:w="1525" w:type="pct"/>
          </w:tcPr>
          <w:p w14:paraId="4572196F"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Cơ quan soạn thảo đã chuẩn hóa thống nhất toàn bộ tên gọi văn bản trên Tờ trình, dự thảo Thông tư và các văn bản kèm </w:t>
            </w:r>
            <w:proofErr w:type="spellStart"/>
            <w:r w:rsidRPr="00015EE7">
              <w:rPr>
                <w:rFonts w:eastAsia="Arial"/>
                <w:color w:val="1F1F1F"/>
              </w:rPr>
              <w:t>theo.</w:t>
            </w:r>
            <w:proofErr w:type="spellEnd"/>
          </w:p>
        </w:tc>
      </w:tr>
      <w:tr w:rsidR="00015EE7" w:rsidRPr="00015EE7" w14:paraId="78E9E884" w14:textId="77777777" w:rsidTr="00015EE7">
        <w:tc>
          <w:tcPr>
            <w:tcW w:w="445" w:type="pct"/>
          </w:tcPr>
          <w:p w14:paraId="3DB7BB64" w14:textId="77777777" w:rsidR="00015EE7" w:rsidRPr="00015EE7" w:rsidRDefault="00015EE7" w:rsidP="00FF7C3F">
            <w:pPr>
              <w:pBdr>
                <w:top w:val="nil"/>
                <w:left w:val="nil"/>
                <w:bottom w:val="nil"/>
                <w:right w:val="nil"/>
                <w:between w:val="nil"/>
              </w:pBdr>
              <w:spacing w:before="120" w:after="120" w:line="275" w:lineRule="auto"/>
              <w:rPr>
                <w:b/>
                <w:bCs/>
                <w:color w:val="1F1F1F"/>
              </w:rPr>
            </w:pPr>
            <w:r w:rsidRPr="00015EE7">
              <w:rPr>
                <w:rFonts w:eastAsia="Arial"/>
                <w:b/>
                <w:bCs/>
                <w:color w:val="1F1F1F"/>
              </w:rPr>
              <w:t>III</w:t>
            </w:r>
          </w:p>
        </w:tc>
        <w:tc>
          <w:tcPr>
            <w:tcW w:w="4555" w:type="pct"/>
            <w:gridSpan w:val="3"/>
          </w:tcPr>
          <w:p w14:paraId="3EC7252C" w14:textId="18190C14" w:rsidR="00015EE7" w:rsidRPr="00015EE7" w:rsidRDefault="00015EE7" w:rsidP="00FF7C3F">
            <w:pPr>
              <w:pBdr>
                <w:top w:val="nil"/>
                <w:left w:val="nil"/>
                <w:bottom w:val="nil"/>
                <w:right w:val="nil"/>
                <w:between w:val="nil"/>
              </w:pBdr>
              <w:spacing w:line="276" w:lineRule="auto"/>
              <w:rPr>
                <w:b/>
                <w:bCs/>
                <w:color w:val="1F1F1F"/>
              </w:rPr>
            </w:pPr>
            <w:r w:rsidRPr="00015EE7">
              <w:rPr>
                <w:rFonts w:eastAsia="Arial"/>
                <w:b/>
                <w:bCs/>
                <w:color w:val="1F1F1F"/>
              </w:rPr>
              <w:t>CHƯƠNG I - QUY ĐỊNH CHUNG (ĐIỀU 1 ĐẾN ĐIỀU 4)</w:t>
            </w:r>
          </w:p>
        </w:tc>
      </w:tr>
      <w:tr w:rsidR="00015EE7" w:rsidRPr="00015EE7" w14:paraId="7FB782B8" w14:textId="77777777" w:rsidTr="00015EE7">
        <w:tc>
          <w:tcPr>
            <w:tcW w:w="445" w:type="pct"/>
          </w:tcPr>
          <w:p w14:paraId="408A007F"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t>7</w:t>
            </w:r>
          </w:p>
        </w:tc>
        <w:tc>
          <w:tcPr>
            <w:tcW w:w="1540" w:type="pct"/>
          </w:tcPr>
          <w:p w14:paraId="0941DB3C" w14:textId="77777777" w:rsidR="00015EE7" w:rsidRPr="00015EE7" w:rsidRDefault="00015EE7" w:rsidP="00FF7C3F">
            <w:pPr>
              <w:pBdr>
                <w:top w:val="nil"/>
                <w:left w:val="nil"/>
                <w:bottom w:val="nil"/>
                <w:right w:val="nil"/>
                <w:between w:val="nil"/>
              </w:pBdr>
              <w:spacing w:line="275" w:lineRule="auto"/>
              <w:rPr>
                <w:b/>
                <w:bCs/>
                <w:color w:val="1F1F1F"/>
              </w:rPr>
            </w:pPr>
            <w:r w:rsidRPr="00015EE7">
              <w:rPr>
                <w:rFonts w:eastAsia="Arial"/>
                <w:b/>
                <w:bCs/>
                <w:color w:val="1F1F1F"/>
              </w:rPr>
              <w:t>Về phạm vi điều chỉnh (Điều 1):</w:t>
            </w:r>
          </w:p>
          <w:p w14:paraId="3E845122" w14:textId="77777777" w:rsidR="00015EE7" w:rsidRPr="00015EE7" w:rsidRDefault="00015EE7" w:rsidP="00FF7C3F">
            <w:pPr>
              <w:pBdr>
                <w:top w:val="nil"/>
                <w:left w:val="nil"/>
                <w:bottom w:val="nil"/>
                <w:right w:val="nil"/>
                <w:between w:val="nil"/>
              </w:pBdr>
              <w:spacing w:line="275" w:lineRule="auto"/>
              <w:rPr>
                <w:b/>
                <w:bCs/>
                <w:color w:val="1F1F1F"/>
              </w:rPr>
            </w:pPr>
          </w:p>
          <w:p w14:paraId="75295200"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Nghị định 267/2025/NĐ-CP phân loại 02 nhóm nhiệm vụ (KH&amp;CN và Đổi mới sáng tạo), đề nghị làm rõ dự thảo có bao hàm cả nhóm đổi mới sáng tạo hay không.</w:t>
            </w:r>
          </w:p>
          <w:p w14:paraId="4D3BC33C" w14:textId="77777777" w:rsidR="00015EE7" w:rsidRPr="00015EE7" w:rsidRDefault="00015EE7" w:rsidP="00FF7C3F">
            <w:pPr>
              <w:pBdr>
                <w:top w:val="nil"/>
                <w:left w:val="nil"/>
                <w:bottom w:val="nil"/>
                <w:right w:val="nil"/>
                <w:between w:val="nil"/>
              </w:pBdr>
              <w:spacing w:line="275" w:lineRule="auto"/>
              <w:rPr>
                <w:color w:val="1F1F1F"/>
              </w:rPr>
            </w:pPr>
          </w:p>
          <w:p w14:paraId="08BDAA98"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Khoản 2 Điều 1 dự thảo cũ chỉ quy định "nghiên cứu y sinh học trên con người", thu hẹp phạm vi, chưa bao quát các lĩnh vực quản lý y tế, dược học, thiết bị y tế, công nghệ sinh học.</w:t>
            </w:r>
          </w:p>
          <w:p w14:paraId="6F463BDE" w14:textId="77777777" w:rsidR="00015EE7" w:rsidRPr="00015EE7" w:rsidRDefault="00015EE7" w:rsidP="00FF7C3F">
            <w:pPr>
              <w:pBdr>
                <w:top w:val="nil"/>
                <w:left w:val="nil"/>
                <w:bottom w:val="nil"/>
                <w:right w:val="nil"/>
                <w:between w:val="nil"/>
              </w:pBdr>
              <w:spacing w:line="275" w:lineRule="auto"/>
              <w:rPr>
                <w:color w:val="1F1F1F"/>
              </w:rPr>
            </w:pPr>
          </w:p>
          <w:p w14:paraId="7473ABC1"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Đề nghị bỏ nội dung về Tiêu chuẩn quốc gia (TCVN), Quy chuẩn kỹ thuật quốc gia (QCVN).</w:t>
            </w:r>
          </w:p>
        </w:tc>
        <w:tc>
          <w:tcPr>
            <w:tcW w:w="1490" w:type="pct"/>
          </w:tcPr>
          <w:p w14:paraId="149111EA"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Vụ Pháp chế, Cục Bà mẹ và Trẻ em, Viện VSDT Trung ương, Viện KSATVSTP Quốc gia, BV Tai Mũi Họng TW, Trường ĐH Điều dưỡng Nam Định, BV Phong - Da liễu TW Quy Hòa</w:t>
            </w:r>
          </w:p>
        </w:tc>
        <w:tc>
          <w:tcPr>
            <w:tcW w:w="1525" w:type="pct"/>
          </w:tcPr>
          <w:p w14:paraId="1C68E8CB"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Đã chỉnh sửa toàn diện Điều 1: Bao quát đầy đủ cả 02 nhóm nhiệm vụ (nhiệm vụ giải quyết vấn đề về KH&amp;CN và nhiệm vụ giải quyết vấn đề về ĐMST) theo Điều 4 Nghị định 267/2025/NĐ-CP; làm rõ nghiên cứu y sinh học trên người là một nhóm nhiệm vụ đặc thù thuộc phạm vi quản lý của Bộ Y tế. Bãi bỏ nội dung TCVN, QCVN do Bộ KH&amp;CN đã ban hành Thông tư số 13/2026/TT-BKHCN và 15/2026/TT-BKHCN điều chỉnh riêng.</w:t>
            </w:r>
          </w:p>
        </w:tc>
      </w:tr>
      <w:tr w:rsidR="00015EE7" w:rsidRPr="00015EE7" w14:paraId="39989BA4" w14:textId="77777777" w:rsidTr="00015EE7">
        <w:tc>
          <w:tcPr>
            <w:tcW w:w="445" w:type="pct"/>
          </w:tcPr>
          <w:p w14:paraId="3E1EB7EB"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t>8</w:t>
            </w:r>
          </w:p>
        </w:tc>
        <w:tc>
          <w:tcPr>
            <w:tcW w:w="1540" w:type="pct"/>
          </w:tcPr>
          <w:p w14:paraId="3B827B94"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Về đối tượng áp dụng:</w:t>
            </w:r>
            <w:r w:rsidRPr="00015EE7">
              <w:rPr>
                <w:rFonts w:eastAsia="Arial"/>
                <w:color w:val="1F1F1F"/>
              </w:rPr>
              <w:t xml:space="preserve"> Đề nghị làm rõ đối tượng áp dụng của dự thảo Thông tư.</w:t>
            </w:r>
          </w:p>
        </w:tc>
        <w:tc>
          <w:tcPr>
            <w:tcW w:w="1490" w:type="pct"/>
          </w:tcPr>
          <w:p w14:paraId="17CBA201"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Vụ Pháp chế, Viện VSDT Trung ương</w:t>
            </w:r>
          </w:p>
        </w:tc>
        <w:tc>
          <w:tcPr>
            <w:tcW w:w="1525" w:type="pct"/>
          </w:tcPr>
          <w:p w14:paraId="7A12AD8B"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Tiếp thu ý kiến thẩm định, dự thảo không quy định một điều riêng về đối tượng áp dụng do Thông tư áp dụng chung cho mọi cơ quan, tổ chức, </w:t>
            </w:r>
            <w:r w:rsidRPr="00015EE7">
              <w:rPr>
                <w:rFonts w:eastAsia="Arial"/>
                <w:color w:val="1F1F1F"/>
              </w:rPr>
              <w:lastRenderedPageBreak/>
              <w:t xml:space="preserve">cá nhân tham gia quản lý, thực hiện nhiệm vụ </w:t>
            </w:r>
            <w:proofErr w:type="gramStart"/>
            <w:r w:rsidRPr="00015EE7">
              <w:rPr>
                <w:rFonts w:eastAsia="Arial"/>
                <w:color w:val="1F1F1F"/>
              </w:rPr>
              <w:t>KH,CN</w:t>
            </w:r>
            <w:proofErr w:type="gramEnd"/>
            <w:r w:rsidRPr="00015EE7">
              <w:rPr>
                <w:rFonts w:eastAsia="Arial"/>
                <w:color w:val="1F1F1F"/>
              </w:rPr>
              <w:t>&amp;ĐMST của Bộ Y tế theo Luật Ban hành VBQPPL.</w:t>
            </w:r>
          </w:p>
        </w:tc>
      </w:tr>
      <w:tr w:rsidR="00015EE7" w:rsidRPr="00015EE7" w14:paraId="29A93B45" w14:textId="77777777" w:rsidTr="00015EE7">
        <w:tc>
          <w:tcPr>
            <w:tcW w:w="445" w:type="pct"/>
          </w:tcPr>
          <w:p w14:paraId="2E97BCDE"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lastRenderedPageBreak/>
              <w:t>9</w:t>
            </w:r>
          </w:p>
        </w:tc>
        <w:tc>
          <w:tcPr>
            <w:tcW w:w="1540" w:type="pct"/>
          </w:tcPr>
          <w:p w14:paraId="0E3565C5"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Về Mã số nhiệm vụ (Điều 2):</w:t>
            </w:r>
            <w:r w:rsidRPr="00015EE7">
              <w:rPr>
                <w:rFonts w:eastAsia="Arial"/>
                <w:color w:val="1F1F1F"/>
              </w:rPr>
              <w:t xml:space="preserve"> Ký hiệu mã số chưa thống nhất, còn thiếu ký hiệu cho thử nghiệm lâm sàng (TNLS); đề nghị chuẩn hóa.</w:t>
            </w:r>
          </w:p>
        </w:tc>
        <w:tc>
          <w:tcPr>
            <w:tcW w:w="1490" w:type="pct"/>
          </w:tcPr>
          <w:p w14:paraId="318DF73B"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Viện VSDT Trung ương, Viện VSDT Tây Nguyên</w:t>
            </w:r>
          </w:p>
        </w:tc>
        <w:tc>
          <w:tcPr>
            <w:tcW w:w="1525" w:type="pct"/>
          </w:tcPr>
          <w:p w14:paraId="2E5262E8"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Đã hoàn thiện cấu trúc mã số tại Điều 2, bổ sung đầy đủ mã số định danh cho từng loại hình nhiệm vụ: NCCB, NCUD, PTCN, PTXH, UDCG, ĐMST, KNST, TNLS.</w:t>
            </w:r>
          </w:p>
        </w:tc>
      </w:tr>
      <w:tr w:rsidR="00015EE7" w:rsidRPr="00015EE7" w14:paraId="1914A7C7" w14:textId="77777777" w:rsidTr="00015EE7">
        <w:tc>
          <w:tcPr>
            <w:tcW w:w="445" w:type="pct"/>
          </w:tcPr>
          <w:p w14:paraId="5C538980"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t>10</w:t>
            </w:r>
          </w:p>
        </w:tc>
        <w:tc>
          <w:tcPr>
            <w:tcW w:w="1540" w:type="pct"/>
          </w:tcPr>
          <w:p w14:paraId="0BCEDFA0"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Về Tiêu chí nhiệm vụ (Điều 3):</w:t>
            </w:r>
            <w:r w:rsidRPr="00015EE7">
              <w:rPr>
                <w:rFonts w:eastAsia="Arial"/>
                <w:color w:val="1F1F1F"/>
              </w:rPr>
              <w:t xml:space="preserve"> Đề nghị không sao chép lại quy định tại Nghị định 267/2025/NĐ-CP; quy định rõ các tiêu chí đặc thù ngành y tế (</w:t>
            </w:r>
            <w:proofErr w:type="gramStart"/>
            <w:r w:rsidRPr="00015EE7">
              <w:rPr>
                <w:rFonts w:eastAsia="Arial"/>
                <w:color w:val="1F1F1F"/>
              </w:rPr>
              <w:t>an</w:t>
            </w:r>
            <w:proofErr w:type="gramEnd"/>
            <w:r w:rsidRPr="00015EE7">
              <w:rPr>
                <w:rFonts w:eastAsia="Arial"/>
                <w:color w:val="1F1F1F"/>
              </w:rPr>
              <w:t xml:space="preserve"> toàn, y đức, phục vụ chẩn đoán, điều trị, chính sách y tế); tránh quy định quá cứng về bài báo quốc tế gây khó khăn cho đơn vị y tế thực hành.</w:t>
            </w:r>
          </w:p>
        </w:tc>
        <w:tc>
          <w:tcPr>
            <w:tcW w:w="1490" w:type="pct"/>
          </w:tcPr>
          <w:p w14:paraId="1A65B4B9"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xml:space="preserve">Vụ Kế hoạch - Tài chính, Viện CL&amp;CS Y tế, Viện Pasteur TP.HCM, BV K, BV Chợ Rẫy, BV Việt Đức, BV Trung ương </w:t>
            </w:r>
            <w:proofErr w:type="spellStart"/>
            <w:r w:rsidRPr="00015EE7">
              <w:rPr>
                <w:rFonts w:eastAsia="Arial"/>
                <w:color w:val="1F1F1F"/>
              </w:rPr>
              <w:t>Huế</w:t>
            </w:r>
            <w:proofErr w:type="spellEnd"/>
          </w:p>
        </w:tc>
        <w:tc>
          <w:tcPr>
            <w:tcW w:w="1525" w:type="pct"/>
          </w:tcPr>
          <w:p w14:paraId="4AD2EE81"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Đã thiết kế lại Điều 3: Dẫn chiếu áp dụng các tiêu chí chung tại Điều 6, Điều 7 Nghị định số 267/2025/NĐ-CP; chỉ quy định các tiêu chí đặc thù y tế tại Khoản 3 (tính cấp thiết, giá trị chăm sóc sức khỏe, y đức, không trùng lặp); không quy định cứng tiêu chí bài báo quốc tế cho từng loại hình nhiệm vụ để đảm bảo tính linh hoạt, khả thi cho các cơ sở thực hành.</w:t>
            </w:r>
          </w:p>
        </w:tc>
      </w:tr>
      <w:tr w:rsidR="00015EE7" w:rsidRPr="00015EE7" w14:paraId="7D2556CE" w14:textId="77777777" w:rsidTr="00015EE7">
        <w:tc>
          <w:tcPr>
            <w:tcW w:w="445" w:type="pct"/>
          </w:tcPr>
          <w:p w14:paraId="487539C3" w14:textId="77777777" w:rsidR="00015EE7" w:rsidRPr="00015EE7" w:rsidRDefault="00015EE7" w:rsidP="00FF7C3F">
            <w:pPr>
              <w:pBdr>
                <w:top w:val="nil"/>
                <w:left w:val="nil"/>
                <w:bottom w:val="nil"/>
                <w:right w:val="nil"/>
                <w:between w:val="nil"/>
              </w:pBdr>
              <w:spacing w:before="120" w:after="120" w:line="275" w:lineRule="auto"/>
              <w:rPr>
                <w:b/>
                <w:bCs/>
                <w:color w:val="1F1F1F"/>
              </w:rPr>
            </w:pPr>
            <w:r w:rsidRPr="00015EE7">
              <w:rPr>
                <w:rFonts w:eastAsia="Arial"/>
                <w:b/>
                <w:bCs/>
                <w:color w:val="1F1F1F"/>
              </w:rPr>
              <w:t>IV</w:t>
            </w:r>
          </w:p>
        </w:tc>
        <w:tc>
          <w:tcPr>
            <w:tcW w:w="1540" w:type="pct"/>
          </w:tcPr>
          <w:p w14:paraId="5435B7B8" w14:textId="77777777" w:rsidR="00015EE7" w:rsidRPr="00015EE7" w:rsidRDefault="00015EE7" w:rsidP="00FF7C3F">
            <w:pPr>
              <w:pBdr>
                <w:top w:val="nil"/>
                <w:left w:val="nil"/>
                <w:bottom w:val="nil"/>
                <w:right w:val="nil"/>
                <w:between w:val="nil"/>
              </w:pBdr>
              <w:spacing w:before="120" w:after="120" w:line="275" w:lineRule="auto"/>
              <w:rPr>
                <w:b/>
                <w:bCs/>
                <w:color w:val="1F1F1F"/>
              </w:rPr>
            </w:pPr>
            <w:r w:rsidRPr="00015EE7">
              <w:rPr>
                <w:rFonts w:eastAsia="Arial"/>
                <w:b/>
                <w:bCs/>
                <w:color w:val="1F1F1F"/>
              </w:rPr>
              <w:t>CHƯƠNG II - NHIỆM VỤ KH, CN VÀ ĐỔI MỚI SÁNG TẠO (ĐIỀU 4 ĐẾN ĐIỀU 17)</w:t>
            </w:r>
          </w:p>
        </w:tc>
        <w:tc>
          <w:tcPr>
            <w:tcW w:w="1490" w:type="pct"/>
          </w:tcPr>
          <w:p w14:paraId="2BD5EB6E" w14:textId="77777777" w:rsidR="00015EE7" w:rsidRPr="00015EE7" w:rsidRDefault="00015EE7" w:rsidP="00FF7C3F">
            <w:pPr>
              <w:pBdr>
                <w:top w:val="nil"/>
                <w:left w:val="nil"/>
                <w:bottom w:val="nil"/>
                <w:right w:val="nil"/>
                <w:between w:val="nil"/>
              </w:pBdr>
              <w:spacing w:line="276" w:lineRule="auto"/>
              <w:rPr>
                <w:b/>
                <w:bCs/>
                <w:color w:val="1F1F1F"/>
              </w:rPr>
            </w:pPr>
          </w:p>
        </w:tc>
        <w:tc>
          <w:tcPr>
            <w:tcW w:w="1525" w:type="pct"/>
          </w:tcPr>
          <w:p w14:paraId="48B5AFC8" w14:textId="77777777" w:rsidR="00015EE7" w:rsidRPr="00015EE7" w:rsidRDefault="00015EE7" w:rsidP="00FF7C3F">
            <w:pPr>
              <w:pBdr>
                <w:top w:val="nil"/>
                <w:left w:val="nil"/>
                <w:bottom w:val="nil"/>
                <w:right w:val="nil"/>
                <w:between w:val="nil"/>
              </w:pBdr>
              <w:spacing w:line="276" w:lineRule="auto"/>
              <w:rPr>
                <w:b/>
                <w:bCs/>
                <w:color w:val="1F1F1F"/>
              </w:rPr>
            </w:pPr>
          </w:p>
        </w:tc>
      </w:tr>
      <w:tr w:rsidR="00015EE7" w:rsidRPr="00015EE7" w14:paraId="3A5A0845" w14:textId="77777777" w:rsidTr="00015EE7">
        <w:tc>
          <w:tcPr>
            <w:tcW w:w="445" w:type="pct"/>
          </w:tcPr>
          <w:p w14:paraId="1C802429"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t>11</w:t>
            </w:r>
          </w:p>
        </w:tc>
        <w:tc>
          <w:tcPr>
            <w:tcW w:w="1540" w:type="pct"/>
          </w:tcPr>
          <w:p w14:paraId="7AF7EE04" w14:textId="77777777" w:rsidR="00015EE7" w:rsidRPr="00015EE7" w:rsidRDefault="00015EE7" w:rsidP="00FF7C3F">
            <w:pPr>
              <w:pBdr>
                <w:top w:val="nil"/>
                <w:left w:val="nil"/>
                <w:bottom w:val="nil"/>
                <w:right w:val="nil"/>
                <w:between w:val="nil"/>
              </w:pBdr>
              <w:spacing w:line="275" w:lineRule="auto"/>
              <w:rPr>
                <w:b/>
                <w:bCs/>
                <w:color w:val="1F1F1F"/>
              </w:rPr>
            </w:pPr>
            <w:r w:rsidRPr="00015EE7">
              <w:rPr>
                <w:rFonts w:eastAsia="Arial"/>
                <w:b/>
                <w:bCs/>
                <w:color w:val="1F1F1F"/>
              </w:rPr>
              <w:t>Về thông báo kế hoạch và nộp hồ sơ (Điều 4, Điều 5):</w:t>
            </w:r>
          </w:p>
          <w:p w14:paraId="14730757" w14:textId="77777777" w:rsidR="00015EE7" w:rsidRPr="00015EE7" w:rsidRDefault="00015EE7" w:rsidP="00FF7C3F">
            <w:pPr>
              <w:pBdr>
                <w:top w:val="nil"/>
                <w:left w:val="nil"/>
                <w:bottom w:val="nil"/>
                <w:right w:val="nil"/>
                <w:between w:val="nil"/>
              </w:pBdr>
              <w:spacing w:line="275" w:lineRule="auto"/>
              <w:rPr>
                <w:b/>
                <w:bCs/>
                <w:color w:val="1F1F1F"/>
              </w:rPr>
            </w:pPr>
          </w:p>
          <w:p w14:paraId="1BED6010"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lastRenderedPageBreak/>
              <w:t>- Thời hạn tiếp nhận hồ sơ tối thiểu 10 ngày là quá ngắn, nên quy định tối thiểu 20-30 ngày.</w:t>
            </w:r>
          </w:p>
          <w:p w14:paraId="7C8AF5EA" w14:textId="77777777" w:rsidR="00015EE7" w:rsidRPr="00015EE7" w:rsidRDefault="00015EE7" w:rsidP="00FF7C3F">
            <w:pPr>
              <w:pBdr>
                <w:top w:val="nil"/>
                <w:left w:val="nil"/>
                <w:bottom w:val="nil"/>
                <w:right w:val="nil"/>
                <w:between w:val="nil"/>
              </w:pBdr>
              <w:spacing w:line="275" w:lineRule="auto"/>
              <w:rPr>
                <w:color w:val="1F1F1F"/>
              </w:rPr>
            </w:pPr>
          </w:p>
          <w:p w14:paraId="7A09035F"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Quy định cụ thể biểu mẫu đơn đăng ký, thuyết minh nhiệm vụ, cam kết đồng tài trợ.</w:t>
            </w:r>
          </w:p>
        </w:tc>
        <w:tc>
          <w:tcPr>
            <w:tcW w:w="1490" w:type="pct"/>
          </w:tcPr>
          <w:p w14:paraId="46D34CF8"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lastRenderedPageBreak/>
              <w:t>Vụ Pháp chế, Viện VSDT Tây Nguyên</w:t>
            </w:r>
          </w:p>
        </w:tc>
        <w:tc>
          <w:tcPr>
            <w:tcW w:w="1525" w:type="pct"/>
          </w:tcPr>
          <w:p w14:paraId="333CB0DE"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Cơ quan soạn thảo đã quy định cụ thể tại Điều 5 các biểu mẫu hồ sơ nộp (dẫn chiếu BM-09, BM-10, BM-11, BM-12 của Thông tư 36/2025/TT-BKHCN); thời hạn thông </w:t>
            </w:r>
            <w:r w:rsidRPr="00015EE7">
              <w:rPr>
                <w:rFonts w:eastAsia="Arial"/>
                <w:color w:val="1F1F1F"/>
              </w:rPr>
              <w:lastRenderedPageBreak/>
              <w:t>báo và nhận hồ sơ tuân thủ theo khoản 7 Điều 10 Nghị định số 267/2025/NĐ-CP bảo đảm đủ thời gian cho các đơn vị chuẩn bị hồ sơ.</w:t>
            </w:r>
          </w:p>
        </w:tc>
      </w:tr>
      <w:tr w:rsidR="00015EE7" w:rsidRPr="00015EE7" w14:paraId="41BE4516" w14:textId="77777777" w:rsidTr="00015EE7">
        <w:tc>
          <w:tcPr>
            <w:tcW w:w="445" w:type="pct"/>
          </w:tcPr>
          <w:p w14:paraId="2AFC0DD1"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lastRenderedPageBreak/>
              <w:t>12</w:t>
            </w:r>
          </w:p>
        </w:tc>
        <w:tc>
          <w:tcPr>
            <w:tcW w:w="1540" w:type="pct"/>
          </w:tcPr>
          <w:p w14:paraId="22AAE118" w14:textId="77777777" w:rsidR="00015EE7" w:rsidRPr="00015EE7" w:rsidRDefault="00015EE7" w:rsidP="00FF7C3F">
            <w:pPr>
              <w:pBdr>
                <w:top w:val="nil"/>
                <w:left w:val="nil"/>
                <w:bottom w:val="nil"/>
                <w:right w:val="nil"/>
                <w:between w:val="nil"/>
              </w:pBdr>
              <w:spacing w:line="275" w:lineRule="auto"/>
              <w:rPr>
                <w:b/>
                <w:bCs/>
                <w:color w:val="1F1F1F"/>
              </w:rPr>
            </w:pPr>
            <w:r w:rsidRPr="00015EE7">
              <w:rPr>
                <w:rFonts w:eastAsia="Arial"/>
                <w:b/>
                <w:bCs/>
                <w:color w:val="1F1F1F"/>
              </w:rPr>
              <w:t>Về Hội đồng xét tài trợ, đặt hàng (Điều 6):</w:t>
            </w:r>
          </w:p>
          <w:p w14:paraId="108A2B37" w14:textId="77777777" w:rsidR="00015EE7" w:rsidRPr="00015EE7" w:rsidRDefault="00015EE7" w:rsidP="00FF7C3F">
            <w:pPr>
              <w:pBdr>
                <w:top w:val="nil"/>
                <w:left w:val="nil"/>
                <w:bottom w:val="nil"/>
                <w:right w:val="nil"/>
                <w:between w:val="nil"/>
              </w:pBdr>
              <w:spacing w:line="275" w:lineRule="auto"/>
              <w:rPr>
                <w:b/>
                <w:bCs/>
                <w:color w:val="1F1F1F"/>
              </w:rPr>
            </w:pPr>
          </w:p>
          <w:p w14:paraId="1FA89A20"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xml:space="preserve">- Đề nghị quy định số lượng thành viên là số lẻ (07–09 thành viên) để tránh </w:t>
            </w:r>
            <w:proofErr w:type="spellStart"/>
            <w:r w:rsidRPr="00015EE7">
              <w:rPr>
                <w:rFonts w:eastAsia="Arial"/>
                <w:color w:val="1F1F1F"/>
              </w:rPr>
              <w:t>tỷ</w:t>
            </w:r>
            <w:proofErr w:type="spellEnd"/>
            <w:r w:rsidRPr="00015EE7">
              <w:rPr>
                <w:rFonts w:eastAsia="Arial"/>
                <w:color w:val="1F1F1F"/>
              </w:rPr>
              <w:t xml:space="preserve"> lệ biểu quyết ngang nhau.</w:t>
            </w:r>
          </w:p>
          <w:p w14:paraId="222D797F" w14:textId="77777777" w:rsidR="00015EE7" w:rsidRPr="00015EE7" w:rsidRDefault="00015EE7" w:rsidP="00FF7C3F">
            <w:pPr>
              <w:pBdr>
                <w:top w:val="nil"/>
                <w:left w:val="nil"/>
                <w:bottom w:val="nil"/>
                <w:right w:val="nil"/>
                <w:between w:val="nil"/>
              </w:pBdr>
              <w:spacing w:line="275" w:lineRule="auto"/>
              <w:rPr>
                <w:color w:val="1F1F1F"/>
              </w:rPr>
            </w:pPr>
          </w:p>
          <w:p w14:paraId="459AB5A2"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Bỏ viện dẫn Thông tư số 20/2023/TT-BKHCN do đã hết hiệu lực từ ngày 01/10/2025.</w:t>
            </w:r>
          </w:p>
          <w:p w14:paraId="5B36E00A" w14:textId="77777777" w:rsidR="00015EE7" w:rsidRPr="00015EE7" w:rsidRDefault="00015EE7" w:rsidP="00FF7C3F">
            <w:pPr>
              <w:pBdr>
                <w:top w:val="nil"/>
                <w:left w:val="nil"/>
                <w:bottom w:val="nil"/>
                <w:right w:val="nil"/>
                <w:between w:val="nil"/>
              </w:pBdr>
              <w:spacing w:line="275" w:lineRule="auto"/>
              <w:rPr>
                <w:color w:val="1F1F1F"/>
              </w:rPr>
            </w:pPr>
          </w:p>
          <w:p w14:paraId="633DD7D1"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Làm rõ vai trò của Thư ký hành chính và Thư ký khoa học.</w:t>
            </w:r>
          </w:p>
        </w:tc>
        <w:tc>
          <w:tcPr>
            <w:tcW w:w="1490" w:type="pct"/>
          </w:tcPr>
          <w:p w14:paraId="568D5440"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Vụ Pháp chế, Cục Bà mẹ và Trẻ em, Viện VSDT Trung ương, Viện KSATVSTP Quốc gia, BV Đại học Y Thái Bình</w:t>
            </w:r>
          </w:p>
        </w:tc>
        <w:tc>
          <w:tcPr>
            <w:tcW w:w="1525" w:type="pct"/>
          </w:tcPr>
          <w:p w14:paraId="06E6079A"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Đã sửa đổi Khoản 1 Điều 6: Hội đồng gồm từ 07 đến 09 thành viên (số lẻ); bãi bỏ toàn bộ viện dẫn Thông tư 20/2023/TT-BKHCN; quy định rõ Thư ký khoa học là thành viên Hội đồng tham gia biểu quyết, Thư ký hành chính là công chức của Cục KHCN&amp;ĐT phục vụ cuộc họp. Ban hành mẫu phiếu BM-01, BM-02, BM-03, BM-04 tại Phụ lục 1 kèm theo Thông tư.</w:t>
            </w:r>
          </w:p>
        </w:tc>
      </w:tr>
      <w:tr w:rsidR="00015EE7" w:rsidRPr="00015EE7" w14:paraId="3650B50A" w14:textId="77777777" w:rsidTr="00015EE7">
        <w:tc>
          <w:tcPr>
            <w:tcW w:w="445" w:type="pct"/>
          </w:tcPr>
          <w:p w14:paraId="3B6D21ED"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t>13</w:t>
            </w:r>
          </w:p>
        </w:tc>
        <w:tc>
          <w:tcPr>
            <w:tcW w:w="1540" w:type="pct"/>
          </w:tcPr>
          <w:p w14:paraId="64BB5F21" w14:textId="77777777" w:rsidR="00015EE7" w:rsidRPr="00015EE7" w:rsidRDefault="00015EE7" w:rsidP="00FF7C3F">
            <w:pPr>
              <w:pBdr>
                <w:top w:val="nil"/>
                <w:left w:val="nil"/>
                <w:bottom w:val="nil"/>
                <w:right w:val="nil"/>
                <w:between w:val="nil"/>
              </w:pBdr>
              <w:spacing w:line="275" w:lineRule="auto"/>
              <w:rPr>
                <w:b/>
                <w:bCs/>
                <w:color w:val="1F1F1F"/>
              </w:rPr>
            </w:pPr>
            <w:r w:rsidRPr="00015EE7">
              <w:rPr>
                <w:rFonts w:eastAsia="Arial"/>
                <w:b/>
                <w:bCs/>
                <w:color w:val="1F1F1F"/>
              </w:rPr>
              <w:t>Về Tổ thẩm định kinh phí và phê duyệt (Điều 8, Điều 9, Điều 10):</w:t>
            </w:r>
          </w:p>
          <w:p w14:paraId="033D739F" w14:textId="77777777" w:rsidR="00015EE7" w:rsidRPr="00015EE7" w:rsidRDefault="00015EE7" w:rsidP="00FF7C3F">
            <w:pPr>
              <w:pBdr>
                <w:top w:val="nil"/>
                <w:left w:val="nil"/>
                <w:bottom w:val="nil"/>
                <w:right w:val="nil"/>
                <w:between w:val="nil"/>
              </w:pBdr>
              <w:spacing w:line="275" w:lineRule="auto"/>
              <w:rPr>
                <w:b/>
                <w:bCs/>
                <w:color w:val="1F1F1F"/>
              </w:rPr>
            </w:pPr>
          </w:p>
          <w:p w14:paraId="67894D30"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xml:space="preserve">- Quy định rõ trách nhiệm của đại diện Vụ Kế hoạch - Tài chính tại Tổ thẩm định kinh phí về rà soát định mức, sự phù hợp với chế độ chi tiêu hiện hành </w:t>
            </w:r>
            <w:r w:rsidRPr="00015EE7">
              <w:rPr>
                <w:rFonts w:eastAsia="Arial"/>
                <w:color w:val="1F1F1F"/>
              </w:rPr>
              <w:lastRenderedPageBreak/>
              <w:t>theo điểm b khoản 7 Điều 12 Nghị định 267/2025/NĐ-CP.</w:t>
            </w:r>
          </w:p>
          <w:p w14:paraId="19630DA6" w14:textId="77777777" w:rsidR="00015EE7" w:rsidRPr="00015EE7" w:rsidRDefault="00015EE7" w:rsidP="00FF7C3F">
            <w:pPr>
              <w:pBdr>
                <w:top w:val="nil"/>
                <w:left w:val="nil"/>
                <w:bottom w:val="nil"/>
                <w:right w:val="nil"/>
                <w:between w:val="nil"/>
              </w:pBdr>
              <w:spacing w:line="275" w:lineRule="auto"/>
              <w:rPr>
                <w:color w:val="1F1F1F"/>
              </w:rPr>
            </w:pPr>
          </w:p>
          <w:p w14:paraId="080F504E"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Đề nghị bỏ Điều 11 cũ về phê duyệt nhiệm vụ do đã được quy định chi tiết tại Điều 13, 14 Nghị định 267/2025/NĐ-CP.</w:t>
            </w:r>
          </w:p>
        </w:tc>
        <w:tc>
          <w:tcPr>
            <w:tcW w:w="1490" w:type="pct"/>
          </w:tcPr>
          <w:p w14:paraId="4E888040"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lastRenderedPageBreak/>
              <w:t>Vụ Kế hoạch - Tài chính, Vụ Pháp chế, BV K</w:t>
            </w:r>
          </w:p>
        </w:tc>
        <w:tc>
          <w:tcPr>
            <w:tcW w:w="1525" w:type="pct"/>
          </w:tcPr>
          <w:p w14:paraId="65ACEEC4"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Tiếp thu hoàn toàn ý kiến của Vụ KHTC tại điểm b khoản 4 Điều 8 dự thảo; bãi bỏ điều khoản trùng lặp với Nghị định 267; hoàn thiện quy trình làm việc và biên bản thẩm định kinh phí theo Biểu mẫu BM-05. Đối với nhiệm vụ tài trợ vốn tư nhân/quốc tế không dùng NSNN thì thẩm định </w:t>
            </w:r>
            <w:r w:rsidRPr="00015EE7">
              <w:rPr>
                <w:rFonts w:eastAsia="Arial"/>
                <w:color w:val="1F1F1F"/>
              </w:rPr>
              <w:lastRenderedPageBreak/>
              <w:t>kinh phí theo phương án tự cân đối của đơn vị.</w:t>
            </w:r>
          </w:p>
        </w:tc>
      </w:tr>
      <w:tr w:rsidR="00015EE7" w:rsidRPr="00015EE7" w14:paraId="565DF415" w14:textId="77777777" w:rsidTr="00015EE7">
        <w:tc>
          <w:tcPr>
            <w:tcW w:w="445" w:type="pct"/>
          </w:tcPr>
          <w:p w14:paraId="513E0052"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lastRenderedPageBreak/>
              <w:t>14</w:t>
            </w:r>
          </w:p>
        </w:tc>
        <w:tc>
          <w:tcPr>
            <w:tcW w:w="1540" w:type="pct"/>
          </w:tcPr>
          <w:p w14:paraId="529F32C3" w14:textId="77777777" w:rsidR="00015EE7" w:rsidRPr="00015EE7" w:rsidRDefault="00015EE7" w:rsidP="00FF7C3F">
            <w:pPr>
              <w:pBdr>
                <w:top w:val="nil"/>
                <w:left w:val="nil"/>
                <w:bottom w:val="nil"/>
                <w:right w:val="nil"/>
                <w:between w:val="nil"/>
              </w:pBdr>
              <w:spacing w:line="275" w:lineRule="auto"/>
              <w:rPr>
                <w:b/>
                <w:bCs/>
                <w:color w:val="1F1F1F"/>
              </w:rPr>
            </w:pPr>
            <w:r w:rsidRPr="00015EE7">
              <w:rPr>
                <w:rFonts w:eastAsia="Arial"/>
                <w:b/>
                <w:bCs/>
                <w:color w:val="1F1F1F"/>
              </w:rPr>
              <w:t>Về Hợp đồng, theo dõi tiến độ, điều chỉnh và đánh giá cuối kỳ (Điều 11, Điều 12, Điều 13, Điều 14):</w:t>
            </w:r>
          </w:p>
          <w:p w14:paraId="406B4F09" w14:textId="77777777" w:rsidR="00015EE7" w:rsidRPr="00015EE7" w:rsidRDefault="00015EE7" w:rsidP="00FF7C3F">
            <w:pPr>
              <w:pBdr>
                <w:top w:val="nil"/>
                <w:left w:val="nil"/>
                <w:bottom w:val="nil"/>
                <w:right w:val="nil"/>
                <w:between w:val="nil"/>
              </w:pBdr>
              <w:spacing w:line="275" w:lineRule="auto"/>
              <w:rPr>
                <w:b/>
                <w:bCs/>
                <w:color w:val="1F1F1F"/>
              </w:rPr>
            </w:pPr>
          </w:p>
          <w:p w14:paraId="6FC3F132"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Tránh dùng từ "nghiệm thu" hành chính cũ, chuyển sang "đánh giá cuối kỳ, đánh giá hiệu quả đầu ra" theo Luật mới.</w:t>
            </w:r>
          </w:p>
          <w:p w14:paraId="4B08FEB4" w14:textId="77777777" w:rsidR="00015EE7" w:rsidRPr="00015EE7" w:rsidRDefault="00015EE7" w:rsidP="00FF7C3F">
            <w:pPr>
              <w:pBdr>
                <w:top w:val="nil"/>
                <w:left w:val="nil"/>
                <w:bottom w:val="nil"/>
                <w:right w:val="nil"/>
                <w:between w:val="nil"/>
              </w:pBdr>
              <w:spacing w:line="275" w:lineRule="auto"/>
              <w:rPr>
                <w:color w:val="1F1F1F"/>
              </w:rPr>
            </w:pPr>
          </w:p>
          <w:p w14:paraId="33201CAD"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Quy định chế độ báo cáo tiến độ và cơ chế cấp tiếp kinh phí.</w:t>
            </w:r>
          </w:p>
          <w:p w14:paraId="71F8F827" w14:textId="77777777" w:rsidR="00015EE7" w:rsidRPr="00015EE7" w:rsidRDefault="00015EE7" w:rsidP="00FF7C3F">
            <w:pPr>
              <w:pBdr>
                <w:top w:val="nil"/>
                <w:left w:val="nil"/>
                <w:bottom w:val="nil"/>
                <w:right w:val="nil"/>
                <w:between w:val="nil"/>
              </w:pBdr>
              <w:spacing w:line="275" w:lineRule="auto"/>
              <w:rPr>
                <w:color w:val="1F1F1F"/>
              </w:rPr>
            </w:pPr>
          </w:p>
          <w:p w14:paraId="7754F22A"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Bỏ từ "Quỹ" tại các điều khoản và biểu mẫu do Bộ Y tế không có mô hình Quỹ.</w:t>
            </w:r>
          </w:p>
        </w:tc>
        <w:tc>
          <w:tcPr>
            <w:tcW w:w="1490" w:type="pct"/>
          </w:tcPr>
          <w:p w14:paraId="10DB3B28"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Viện CL&amp;CS Y tế, Viện VSDT Trung ương, BV Việt Đức, BV Trung ương Thái Nguyên, Trung tâm Điều dưỡng Việt Trì</w:t>
            </w:r>
          </w:p>
        </w:tc>
        <w:tc>
          <w:tcPr>
            <w:tcW w:w="1525" w:type="pct"/>
          </w:tcPr>
          <w:p w14:paraId="457937C9"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Đã thống nhất thuật ngữ "đánh giá cuối kỳ", "đánh giá hiệu quả đầu ra" theo đúng Nghị định 267/2025/NĐ-CP; rà soát loại bỏ triệt để từ "Quỹ"; quy định cập nhật tiến độ thực hiện định kỳ 01 lần/tháng trên Hệ thống nền tảng số của Bộ Y tế; áp dụng các biểu mẫu Hợp đồng BM-18, Đánh giá trong kỳ BM-19, BM-20, Báo cáo cuối kỳ BM-23, Thanh lý BM-26 của Bộ KH&amp;CN.</w:t>
            </w:r>
          </w:p>
        </w:tc>
      </w:tr>
      <w:tr w:rsidR="00015EE7" w:rsidRPr="00015EE7" w14:paraId="69D06C86" w14:textId="77777777" w:rsidTr="00015EE7">
        <w:tc>
          <w:tcPr>
            <w:tcW w:w="445" w:type="pct"/>
          </w:tcPr>
          <w:p w14:paraId="6D69B034"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t>15</w:t>
            </w:r>
          </w:p>
        </w:tc>
        <w:tc>
          <w:tcPr>
            <w:tcW w:w="1540" w:type="pct"/>
          </w:tcPr>
          <w:p w14:paraId="0A99AE49" w14:textId="77777777" w:rsidR="00015EE7" w:rsidRPr="00015EE7" w:rsidRDefault="00015EE7" w:rsidP="00FF7C3F">
            <w:pPr>
              <w:pBdr>
                <w:top w:val="nil"/>
                <w:left w:val="nil"/>
                <w:bottom w:val="nil"/>
                <w:right w:val="nil"/>
                <w:between w:val="nil"/>
              </w:pBdr>
              <w:spacing w:line="275" w:lineRule="auto"/>
              <w:rPr>
                <w:b/>
                <w:bCs/>
                <w:color w:val="1F1F1F"/>
              </w:rPr>
            </w:pPr>
            <w:r w:rsidRPr="00015EE7">
              <w:rPr>
                <w:rFonts w:eastAsia="Arial"/>
                <w:b/>
                <w:bCs/>
                <w:color w:val="1F1F1F"/>
              </w:rPr>
              <w:t>Về Quản trị rủi ro và Công nghệ chiến lược (Điều 16, Điều 17):</w:t>
            </w:r>
          </w:p>
          <w:p w14:paraId="44BFCF81" w14:textId="77777777" w:rsidR="00015EE7" w:rsidRPr="00015EE7" w:rsidRDefault="00015EE7" w:rsidP="00FF7C3F">
            <w:pPr>
              <w:pBdr>
                <w:top w:val="nil"/>
                <w:left w:val="nil"/>
                <w:bottom w:val="nil"/>
                <w:right w:val="nil"/>
                <w:between w:val="nil"/>
              </w:pBdr>
              <w:spacing w:line="275" w:lineRule="auto"/>
              <w:rPr>
                <w:b/>
                <w:bCs/>
                <w:color w:val="1F1F1F"/>
              </w:rPr>
            </w:pPr>
          </w:p>
          <w:p w14:paraId="0D886F6B"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xml:space="preserve">- Cần có cơ chế quản trị rủi ro khoa học rõ ràng để bảo vệ nhà khoa học khi </w:t>
            </w:r>
            <w:r w:rsidRPr="00015EE7">
              <w:rPr>
                <w:rFonts w:eastAsia="Arial"/>
                <w:color w:val="1F1F1F"/>
              </w:rPr>
              <w:lastRenderedPageBreak/>
              <w:t>nghiên cứu không thành công vì nguyên nhân khách quan.</w:t>
            </w:r>
          </w:p>
          <w:p w14:paraId="46271065" w14:textId="77777777" w:rsidR="00015EE7" w:rsidRPr="00015EE7" w:rsidRDefault="00015EE7" w:rsidP="00FF7C3F">
            <w:pPr>
              <w:pBdr>
                <w:top w:val="nil"/>
                <w:left w:val="nil"/>
                <w:bottom w:val="nil"/>
                <w:right w:val="nil"/>
                <w:between w:val="nil"/>
              </w:pBdr>
              <w:spacing w:line="275" w:lineRule="auto"/>
              <w:rPr>
                <w:color w:val="1F1F1F"/>
              </w:rPr>
            </w:pPr>
          </w:p>
          <w:p w14:paraId="63ACD931"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Quy định quản lý nhiệm vụ công nghệ chiến lược ngành y tế.</w:t>
            </w:r>
          </w:p>
        </w:tc>
        <w:tc>
          <w:tcPr>
            <w:tcW w:w="1490" w:type="pct"/>
          </w:tcPr>
          <w:p w14:paraId="79151938"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lastRenderedPageBreak/>
              <w:t>BV K, BV Trung ương Thái Nguyên, Viện VSDT Trung ương</w:t>
            </w:r>
          </w:p>
        </w:tc>
        <w:tc>
          <w:tcPr>
            <w:tcW w:w="1525" w:type="pct"/>
          </w:tcPr>
          <w:p w14:paraId="3975732E"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Đã bổ sung Điều 16 về quản trị rủi ro khoa học dẫn chiếu các Điều 35, 36, 37, 38, 39 Nghị định 267/2025/NĐ-CP; bổ sung Điều 17 về nhiệm vụ phát triển công nghệ chiến </w:t>
            </w:r>
            <w:r w:rsidRPr="00015EE7">
              <w:rPr>
                <w:rFonts w:eastAsia="Arial"/>
                <w:color w:val="1F1F1F"/>
              </w:rPr>
              <w:lastRenderedPageBreak/>
              <w:t>lược y tế theo Nghị định số 260/2026/NĐ-CP.</w:t>
            </w:r>
          </w:p>
        </w:tc>
      </w:tr>
      <w:tr w:rsidR="00015EE7" w:rsidRPr="00015EE7" w14:paraId="012C43AF" w14:textId="77777777" w:rsidTr="00015EE7">
        <w:tc>
          <w:tcPr>
            <w:tcW w:w="445" w:type="pct"/>
          </w:tcPr>
          <w:p w14:paraId="7BE02F16" w14:textId="77777777" w:rsidR="00015EE7" w:rsidRPr="00015EE7" w:rsidRDefault="00015EE7" w:rsidP="00FF7C3F">
            <w:pPr>
              <w:pBdr>
                <w:top w:val="nil"/>
                <w:left w:val="nil"/>
                <w:bottom w:val="nil"/>
                <w:right w:val="nil"/>
                <w:between w:val="nil"/>
              </w:pBdr>
              <w:spacing w:before="120" w:after="120" w:line="275" w:lineRule="auto"/>
              <w:rPr>
                <w:b/>
                <w:bCs/>
                <w:color w:val="1F1F1F"/>
              </w:rPr>
            </w:pPr>
            <w:r w:rsidRPr="00015EE7">
              <w:rPr>
                <w:rFonts w:eastAsia="Arial"/>
                <w:b/>
                <w:bCs/>
                <w:color w:val="1F1F1F"/>
              </w:rPr>
              <w:lastRenderedPageBreak/>
              <w:t>V</w:t>
            </w:r>
          </w:p>
        </w:tc>
        <w:tc>
          <w:tcPr>
            <w:tcW w:w="4555" w:type="pct"/>
            <w:gridSpan w:val="3"/>
          </w:tcPr>
          <w:p w14:paraId="7396F46F" w14:textId="4DEFD905" w:rsidR="00015EE7" w:rsidRPr="00015EE7" w:rsidRDefault="00015EE7" w:rsidP="00FF7C3F">
            <w:pPr>
              <w:pBdr>
                <w:top w:val="nil"/>
                <w:left w:val="nil"/>
                <w:bottom w:val="nil"/>
                <w:right w:val="nil"/>
                <w:between w:val="nil"/>
              </w:pBdr>
              <w:spacing w:line="276" w:lineRule="auto"/>
              <w:rPr>
                <w:b/>
                <w:bCs/>
                <w:color w:val="1F1F1F"/>
              </w:rPr>
            </w:pPr>
            <w:r w:rsidRPr="00015EE7">
              <w:rPr>
                <w:rFonts w:eastAsia="Arial"/>
                <w:b/>
                <w:bCs/>
                <w:color w:val="1F1F1F"/>
              </w:rPr>
              <w:t>CHƯƠNG III - CHƯƠNG TRÌNH KH, CN VÀ ĐỔI MỚI SÁNG TẠO (ĐIỀU 18 ĐẾN ĐIỀU 20)</w:t>
            </w:r>
          </w:p>
        </w:tc>
      </w:tr>
      <w:tr w:rsidR="00015EE7" w:rsidRPr="00015EE7" w14:paraId="14933B11" w14:textId="77777777" w:rsidTr="00015EE7">
        <w:tc>
          <w:tcPr>
            <w:tcW w:w="445" w:type="pct"/>
          </w:tcPr>
          <w:p w14:paraId="1A2D3FB5"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t>16</w:t>
            </w:r>
          </w:p>
        </w:tc>
        <w:tc>
          <w:tcPr>
            <w:tcW w:w="1540" w:type="pct"/>
          </w:tcPr>
          <w:p w14:paraId="54F1BFE5"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Đề nghị làm rõ căn cứ lập, hồ sơ đăng ký và thẩm quyền triển khai Chương trình KH, CN &amp; ĐMST của Bộ Y tế và cấp Quốc gia.</w:t>
            </w:r>
          </w:p>
        </w:tc>
        <w:tc>
          <w:tcPr>
            <w:tcW w:w="1490" w:type="pct"/>
          </w:tcPr>
          <w:p w14:paraId="595BA1EC"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Vụ Kế hoạch - Tài chính, Viện VSDT Trung ương</w:t>
            </w:r>
          </w:p>
        </w:tc>
        <w:tc>
          <w:tcPr>
            <w:tcW w:w="1525" w:type="pct"/>
          </w:tcPr>
          <w:p w14:paraId="2B5FC848"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Đã hoàn thiện toàn bộ Chương III (từ Điều 18 đến Điều 20): Quy định nguyên tắc xây dựng, thẩm định Chương trình; áp dụng Biểu mẫu BM-01, BM-02 Thông tư số 36/2025/TT-BKHCN cho hồ sơ đăng ký Chương trình.</w:t>
            </w:r>
          </w:p>
        </w:tc>
      </w:tr>
      <w:tr w:rsidR="00015EE7" w:rsidRPr="00015EE7" w14:paraId="7FD9ED1C" w14:textId="77777777" w:rsidTr="00015EE7">
        <w:tc>
          <w:tcPr>
            <w:tcW w:w="445" w:type="pct"/>
          </w:tcPr>
          <w:p w14:paraId="6F4DA489" w14:textId="77777777" w:rsidR="00015EE7" w:rsidRPr="00015EE7" w:rsidRDefault="00015EE7" w:rsidP="00FF7C3F">
            <w:pPr>
              <w:pBdr>
                <w:top w:val="nil"/>
                <w:left w:val="nil"/>
                <w:bottom w:val="nil"/>
                <w:right w:val="nil"/>
                <w:between w:val="nil"/>
              </w:pBdr>
              <w:spacing w:before="120" w:after="120" w:line="275" w:lineRule="auto"/>
              <w:rPr>
                <w:b/>
                <w:bCs/>
                <w:color w:val="1F1F1F"/>
              </w:rPr>
            </w:pPr>
            <w:r w:rsidRPr="00015EE7">
              <w:rPr>
                <w:rFonts w:eastAsia="Arial"/>
                <w:b/>
                <w:bCs/>
                <w:color w:val="1F1F1F"/>
              </w:rPr>
              <w:t>VI</w:t>
            </w:r>
          </w:p>
        </w:tc>
        <w:tc>
          <w:tcPr>
            <w:tcW w:w="4555" w:type="pct"/>
            <w:gridSpan w:val="3"/>
          </w:tcPr>
          <w:p w14:paraId="3D8DB15C" w14:textId="670610A7" w:rsidR="00015EE7" w:rsidRPr="00015EE7" w:rsidRDefault="00015EE7" w:rsidP="00FF7C3F">
            <w:pPr>
              <w:pBdr>
                <w:top w:val="nil"/>
                <w:left w:val="nil"/>
                <w:bottom w:val="nil"/>
                <w:right w:val="nil"/>
                <w:between w:val="nil"/>
              </w:pBdr>
              <w:spacing w:line="276" w:lineRule="auto"/>
              <w:rPr>
                <w:b/>
                <w:bCs/>
                <w:color w:val="1F1F1F"/>
              </w:rPr>
            </w:pPr>
            <w:r w:rsidRPr="00015EE7">
              <w:rPr>
                <w:rFonts w:eastAsia="Arial"/>
                <w:b/>
                <w:bCs/>
                <w:color w:val="1F1F1F"/>
              </w:rPr>
              <w:t>CHƯƠNG IV - NGHIÊN CỨU Y SINH HỌC TRÊN CON NGƯỜI VÀ TỔ CHỨC THỰC HIỆN (ĐIỀU 21 ĐẾN ĐIỀU 27)</w:t>
            </w:r>
          </w:p>
        </w:tc>
      </w:tr>
      <w:tr w:rsidR="00015EE7" w:rsidRPr="00015EE7" w14:paraId="1041E16D" w14:textId="77777777" w:rsidTr="00015EE7">
        <w:tc>
          <w:tcPr>
            <w:tcW w:w="445" w:type="pct"/>
          </w:tcPr>
          <w:p w14:paraId="666A5171"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t>17</w:t>
            </w:r>
          </w:p>
        </w:tc>
        <w:tc>
          <w:tcPr>
            <w:tcW w:w="1540" w:type="pct"/>
          </w:tcPr>
          <w:p w14:paraId="17C34913" w14:textId="77777777" w:rsidR="00015EE7" w:rsidRPr="00015EE7" w:rsidRDefault="00015EE7" w:rsidP="00FF7C3F">
            <w:pPr>
              <w:pBdr>
                <w:top w:val="nil"/>
                <w:left w:val="nil"/>
                <w:bottom w:val="nil"/>
                <w:right w:val="nil"/>
                <w:between w:val="nil"/>
              </w:pBdr>
              <w:spacing w:line="275" w:lineRule="auto"/>
              <w:rPr>
                <w:b/>
                <w:bCs/>
                <w:color w:val="1F1F1F"/>
              </w:rPr>
            </w:pPr>
            <w:r w:rsidRPr="00015EE7">
              <w:rPr>
                <w:rFonts w:eastAsia="Arial"/>
                <w:b/>
                <w:bCs/>
                <w:color w:val="1F1F1F"/>
              </w:rPr>
              <w:t>Về nghiên cứu y sinh học trên con người (Điều 21):</w:t>
            </w:r>
          </w:p>
          <w:p w14:paraId="39D71C65" w14:textId="77777777" w:rsidR="00015EE7" w:rsidRPr="00015EE7" w:rsidRDefault="00015EE7" w:rsidP="00FF7C3F">
            <w:pPr>
              <w:pBdr>
                <w:top w:val="nil"/>
                <w:left w:val="nil"/>
                <w:bottom w:val="nil"/>
                <w:right w:val="nil"/>
                <w:between w:val="nil"/>
              </w:pBdr>
              <w:spacing w:line="275" w:lineRule="auto"/>
              <w:rPr>
                <w:b/>
                <w:bCs/>
                <w:color w:val="1F1F1F"/>
              </w:rPr>
            </w:pPr>
          </w:p>
          <w:p w14:paraId="0C6914E7"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Cần quy định bắt buộc phải thông qua Hội đồng đạo đức trong nghiên cứu y sinh học các cấp trước khi triển khai nghiên cứu.</w:t>
            </w:r>
          </w:p>
          <w:p w14:paraId="36539CF6" w14:textId="77777777" w:rsidR="00015EE7" w:rsidRPr="00015EE7" w:rsidRDefault="00015EE7" w:rsidP="00FF7C3F">
            <w:pPr>
              <w:pBdr>
                <w:top w:val="nil"/>
                <w:left w:val="nil"/>
                <w:bottom w:val="nil"/>
                <w:right w:val="nil"/>
                <w:between w:val="nil"/>
              </w:pBdr>
              <w:spacing w:line="275" w:lineRule="auto"/>
              <w:rPr>
                <w:color w:val="1F1F1F"/>
              </w:rPr>
            </w:pPr>
          </w:p>
          <w:p w14:paraId="40B9684D"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Phân định rõ phạm vi thử nghiệm lâm sàng kỹ thuật mới, thiết bị y tế và thử thuốc trên lâm sàng.</w:t>
            </w:r>
          </w:p>
        </w:tc>
        <w:tc>
          <w:tcPr>
            <w:tcW w:w="1490" w:type="pct"/>
          </w:tcPr>
          <w:p w14:paraId="23E33122"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BV K, BV Da liễu Trung ương, Viện KSATVSTP Quốc gia</w:t>
            </w:r>
          </w:p>
        </w:tc>
        <w:tc>
          <w:tcPr>
            <w:tcW w:w="1525" w:type="pct"/>
          </w:tcPr>
          <w:p w14:paraId="5DE0B30D"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Đã quy định rõ tại Điều 21 và nguyên tắc tại Điều 1: Bắt buộc tuân thủ nguyên tắc đạo đức trong nghiên cứu y sinh học theo Thông tư số 43/2024/TT-BYT; dẫn chiếu thực hiện thử thuốc lâm sàng theo Thông tư 50/2025/TT-BYT và thử kỹ thuật mới, thiết bị y tế theo Thông tư 32/2023/TT-BYT; ban hành Phụ lục 2 về Thực hành tốt thử kỹ thuật mới, thiết bị y tế.</w:t>
            </w:r>
          </w:p>
        </w:tc>
      </w:tr>
      <w:tr w:rsidR="00015EE7" w:rsidRPr="00015EE7" w14:paraId="15F3EEFF" w14:textId="77777777" w:rsidTr="00015EE7">
        <w:tc>
          <w:tcPr>
            <w:tcW w:w="445" w:type="pct"/>
          </w:tcPr>
          <w:p w14:paraId="4A71D50F"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lastRenderedPageBreak/>
              <w:t>18</w:t>
            </w:r>
          </w:p>
        </w:tc>
        <w:tc>
          <w:tcPr>
            <w:tcW w:w="1540" w:type="pct"/>
          </w:tcPr>
          <w:p w14:paraId="0C077EB6" w14:textId="77777777" w:rsidR="00015EE7" w:rsidRPr="00015EE7" w:rsidRDefault="00015EE7" w:rsidP="00FF7C3F">
            <w:pPr>
              <w:pBdr>
                <w:top w:val="nil"/>
                <w:left w:val="nil"/>
                <w:bottom w:val="nil"/>
                <w:right w:val="nil"/>
                <w:between w:val="nil"/>
              </w:pBdr>
              <w:spacing w:line="275" w:lineRule="auto"/>
              <w:rPr>
                <w:b/>
                <w:bCs/>
                <w:color w:val="1F1F1F"/>
              </w:rPr>
            </w:pPr>
            <w:r w:rsidRPr="00015EE7">
              <w:rPr>
                <w:rFonts w:eastAsia="Arial"/>
                <w:b/>
                <w:bCs/>
                <w:color w:val="1F1F1F"/>
              </w:rPr>
              <w:t>Về Điều khoản chuyển tiếp (Điều 24):</w:t>
            </w:r>
          </w:p>
          <w:p w14:paraId="1694D2ED" w14:textId="77777777" w:rsidR="00015EE7" w:rsidRPr="00015EE7" w:rsidRDefault="00015EE7" w:rsidP="00FF7C3F">
            <w:pPr>
              <w:pBdr>
                <w:top w:val="nil"/>
                <w:left w:val="nil"/>
                <w:bottom w:val="nil"/>
                <w:right w:val="nil"/>
                <w:between w:val="nil"/>
              </w:pBdr>
              <w:spacing w:line="275" w:lineRule="auto"/>
              <w:rPr>
                <w:b/>
                <w:bCs/>
                <w:color w:val="1F1F1F"/>
              </w:rPr>
            </w:pPr>
          </w:p>
          <w:p w14:paraId="666C9A86"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Cần bao quát các trường hợp: hồ sơ đã nộp trước khi Thông tư có hiệu lực; nhiệm vụ cấp Bộ đang triển khai dở dang theo Thông tư 24/2023/TT-BYT; nhiệm vụ đang đánh giá, nghiệm thu để tránh khoảng trống pháp lý.</w:t>
            </w:r>
          </w:p>
        </w:tc>
        <w:tc>
          <w:tcPr>
            <w:tcW w:w="1490" w:type="pct"/>
          </w:tcPr>
          <w:p w14:paraId="6F70EB02"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Vụ Bảo hiểm y tế, Viện VSDT Trung ương</w:t>
            </w:r>
          </w:p>
        </w:tc>
        <w:tc>
          <w:tcPr>
            <w:tcW w:w="1525" w:type="pct"/>
          </w:tcPr>
          <w:p w14:paraId="59F48DE2"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Đã hoàn thiện toàn diện Điều 24 (Điều khoản chuyển tiếp): Hồ sơ nộp trước ngày hiệu lực tiếp tục áp dụng theo quy định tại thời điểm nộp (trừ trường hợp tự nguyện đề nghị áp dụng Thông tư mới); các nhiệm vụ đã phê duyệt trước 01/10/2025 tiếp tục thực hiện theo Hợp đồng và Thông tư số 24/2023/TT-BYT đến khi hoàn thành.</w:t>
            </w:r>
          </w:p>
        </w:tc>
      </w:tr>
      <w:tr w:rsidR="00015EE7" w:rsidRPr="00015EE7" w14:paraId="3F58B7E2" w14:textId="77777777" w:rsidTr="00015EE7">
        <w:tc>
          <w:tcPr>
            <w:tcW w:w="445" w:type="pct"/>
          </w:tcPr>
          <w:p w14:paraId="4A246296"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t>19</w:t>
            </w:r>
          </w:p>
        </w:tc>
        <w:tc>
          <w:tcPr>
            <w:tcW w:w="1540" w:type="pct"/>
          </w:tcPr>
          <w:p w14:paraId="70E6E5F0" w14:textId="77777777" w:rsidR="00015EE7" w:rsidRPr="00015EE7" w:rsidRDefault="00015EE7" w:rsidP="00FF7C3F">
            <w:pPr>
              <w:pBdr>
                <w:top w:val="nil"/>
                <w:left w:val="nil"/>
                <w:bottom w:val="nil"/>
                <w:right w:val="nil"/>
                <w:between w:val="nil"/>
              </w:pBdr>
              <w:spacing w:line="275" w:lineRule="auto"/>
              <w:rPr>
                <w:b/>
                <w:bCs/>
                <w:color w:val="1F1F1F"/>
              </w:rPr>
            </w:pPr>
            <w:r w:rsidRPr="00015EE7">
              <w:rPr>
                <w:rFonts w:eastAsia="Arial"/>
                <w:b/>
                <w:bCs/>
                <w:color w:val="1F1F1F"/>
              </w:rPr>
              <w:t>Về Trách nhiệm của Vụ Kế hoạch - Tài chính và Cục KHCN&amp;ĐT (Điều 26):</w:t>
            </w:r>
          </w:p>
          <w:p w14:paraId="65101309" w14:textId="77777777" w:rsidR="00015EE7" w:rsidRPr="00015EE7" w:rsidRDefault="00015EE7" w:rsidP="00FF7C3F">
            <w:pPr>
              <w:pBdr>
                <w:top w:val="nil"/>
                <w:left w:val="nil"/>
                <w:bottom w:val="nil"/>
                <w:right w:val="nil"/>
                <w:between w:val="nil"/>
              </w:pBdr>
              <w:spacing w:line="275" w:lineRule="auto"/>
              <w:rPr>
                <w:b/>
                <w:bCs/>
                <w:color w:val="1F1F1F"/>
              </w:rPr>
            </w:pPr>
          </w:p>
          <w:p w14:paraId="34B71ADC"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Làm rõ trách nhiệm của Cục KHCN&amp;ĐT trong tổng hợp dự toán kinh phí nhiệm vụ gửi Bộ KH&amp;CN và Vụ KHTC.</w:t>
            </w:r>
          </w:p>
          <w:p w14:paraId="6F8E348C" w14:textId="77777777" w:rsidR="00015EE7" w:rsidRPr="00015EE7" w:rsidRDefault="00015EE7" w:rsidP="00FF7C3F">
            <w:pPr>
              <w:pBdr>
                <w:top w:val="nil"/>
                <w:left w:val="nil"/>
                <w:bottom w:val="nil"/>
                <w:right w:val="nil"/>
                <w:between w:val="nil"/>
              </w:pBdr>
              <w:spacing w:line="275" w:lineRule="auto"/>
              <w:rPr>
                <w:color w:val="1F1F1F"/>
              </w:rPr>
            </w:pPr>
          </w:p>
          <w:p w14:paraId="3D82DBC4"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Quy định trách nhiệm Vụ KHTC tổng hợp dự toán chung của Bộ gửi Bộ Tài chính và tham mưu phân bổ dự toán theo Luật Ngân sách nhà nước; không quy định tùy nghi giữ lại kinh phí dự phòng.</w:t>
            </w:r>
          </w:p>
        </w:tc>
        <w:tc>
          <w:tcPr>
            <w:tcW w:w="1490" w:type="pct"/>
          </w:tcPr>
          <w:p w14:paraId="6035C03F"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Vụ Kế hoạch - Tài chính, Vụ Pháp chế</w:t>
            </w:r>
          </w:p>
        </w:tc>
        <w:tc>
          <w:tcPr>
            <w:tcW w:w="1525" w:type="pct"/>
          </w:tcPr>
          <w:p w14:paraId="091D2D1F"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Tiếp thu hoàn toàn góp ý của Vụ Kế hoạch - Tài chính tại khoản 1, khoản 2 Điều 26 dự thảo Thông tư, bảo đảm tuân thủ nghiêm ngặt Luật Ngân sách nhà nước.</w:t>
            </w:r>
          </w:p>
        </w:tc>
      </w:tr>
      <w:tr w:rsidR="00015EE7" w:rsidRPr="00015EE7" w14:paraId="2136BB4F" w14:textId="77777777" w:rsidTr="00015EE7">
        <w:tc>
          <w:tcPr>
            <w:tcW w:w="445" w:type="pct"/>
          </w:tcPr>
          <w:p w14:paraId="499326BA"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t>20</w:t>
            </w:r>
          </w:p>
        </w:tc>
        <w:tc>
          <w:tcPr>
            <w:tcW w:w="1540" w:type="pct"/>
          </w:tcPr>
          <w:p w14:paraId="2D418E4E"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Về Phân cấp cho đơn vị cơ sở (Điều 26):</w:t>
            </w:r>
            <w:r w:rsidRPr="00015EE7">
              <w:rPr>
                <w:rFonts w:eastAsia="Arial"/>
                <w:color w:val="1F1F1F"/>
              </w:rPr>
              <w:t xml:space="preserve"> Đề nghị phân quyền chủ động cho Thủ trưởng đơn vị chủ trì trong việc bố </w:t>
            </w:r>
            <w:r w:rsidRPr="00015EE7">
              <w:rPr>
                <w:rFonts w:eastAsia="Arial"/>
                <w:color w:val="1F1F1F"/>
              </w:rPr>
              <w:lastRenderedPageBreak/>
              <w:t>trí nguồn lực, phê duyệt nội bộ và tự chịu trách nhiệm giải trình kết quả nghiên cứu.</w:t>
            </w:r>
          </w:p>
        </w:tc>
        <w:tc>
          <w:tcPr>
            <w:tcW w:w="1490" w:type="pct"/>
          </w:tcPr>
          <w:p w14:paraId="46FD0CEB"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lastRenderedPageBreak/>
              <w:t xml:space="preserve">BV Chợ Rẫy, BV Trung ương </w:t>
            </w:r>
            <w:proofErr w:type="spellStart"/>
            <w:r w:rsidRPr="00015EE7">
              <w:rPr>
                <w:rFonts w:eastAsia="Arial"/>
                <w:color w:val="1F1F1F"/>
              </w:rPr>
              <w:t>Huế</w:t>
            </w:r>
            <w:proofErr w:type="spellEnd"/>
            <w:r w:rsidRPr="00015EE7">
              <w:rPr>
                <w:rFonts w:eastAsia="Arial"/>
                <w:color w:val="1F1F1F"/>
              </w:rPr>
              <w:t>, BV Da liễu TW</w:t>
            </w:r>
          </w:p>
        </w:tc>
        <w:tc>
          <w:tcPr>
            <w:tcW w:w="1525" w:type="pct"/>
          </w:tcPr>
          <w:p w14:paraId="74E57141"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Đã quy định rõ tại khoản 4 Điều 26: Tăng quyền tự chủ cho Tổ chức chủ trì trong tổ chức thực hiện, </w:t>
            </w:r>
            <w:r w:rsidRPr="00015EE7">
              <w:rPr>
                <w:rFonts w:eastAsia="Arial"/>
                <w:color w:val="1F1F1F"/>
              </w:rPr>
              <w:lastRenderedPageBreak/>
              <w:t xml:space="preserve">quản lý nghiên cứu viên và sử dụng kinh phí được phê duyệt, chuyển mạnh từ tiền kiểm sang hậu kiểm gắn với đánh giá hiệu quả đầu </w:t>
            </w:r>
            <w:proofErr w:type="spellStart"/>
            <w:r w:rsidRPr="00015EE7">
              <w:rPr>
                <w:rFonts w:eastAsia="Arial"/>
                <w:color w:val="1F1F1F"/>
              </w:rPr>
              <w:t>ra.</w:t>
            </w:r>
            <w:proofErr w:type="spellEnd"/>
          </w:p>
        </w:tc>
      </w:tr>
      <w:tr w:rsidR="00015EE7" w:rsidRPr="00015EE7" w14:paraId="3A651ADC" w14:textId="77777777" w:rsidTr="00015EE7">
        <w:tc>
          <w:tcPr>
            <w:tcW w:w="445" w:type="pct"/>
          </w:tcPr>
          <w:p w14:paraId="4BBC805E" w14:textId="77777777" w:rsidR="00015EE7" w:rsidRPr="00015EE7" w:rsidRDefault="00015EE7" w:rsidP="00FF7C3F">
            <w:pPr>
              <w:pBdr>
                <w:top w:val="nil"/>
                <w:left w:val="nil"/>
                <w:bottom w:val="nil"/>
                <w:right w:val="nil"/>
                <w:between w:val="nil"/>
              </w:pBdr>
              <w:spacing w:before="120" w:after="120" w:line="275" w:lineRule="auto"/>
              <w:rPr>
                <w:b/>
                <w:bCs/>
                <w:color w:val="1F1F1F"/>
              </w:rPr>
            </w:pPr>
            <w:r w:rsidRPr="00015EE7">
              <w:rPr>
                <w:rFonts w:eastAsia="Arial"/>
                <w:b/>
                <w:bCs/>
                <w:color w:val="1F1F1F"/>
              </w:rPr>
              <w:lastRenderedPageBreak/>
              <w:t>VII</w:t>
            </w:r>
          </w:p>
        </w:tc>
        <w:tc>
          <w:tcPr>
            <w:tcW w:w="4555" w:type="pct"/>
            <w:gridSpan w:val="3"/>
          </w:tcPr>
          <w:p w14:paraId="483BD4F2" w14:textId="46F7E616" w:rsidR="00015EE7" w:rsidRPr="00015EE7" w:rsidRDefault="00015EE7" w:rsidP="00FF7C3F">
            <w:pPr>
              <w:pBdr>
                <w:top w:val="nil"/>
                <w:left w:val="nil"/>
                <w:bottom w:val="nil"/>
                <w:right w:val="nil"/>
                <w:between w:val="nil"/>
              </w:pBdr>
              <w:spacing w:line="276" w:lineRule="auto"/>
              <w:rPr>
                <w:b/>
                <w:bCs/>
                <w:color w:val="1F1F1F"/>
              </w:rPr>
            </w:pPr>
            <w:r w:rsidRPr="00015EE7">
              <w:rPr>
                <w:rFonts w:eastAsia="Arial"/>
                <w:b/>
                <w:bCs/>
                <w:color w:val="1F1F1F"/>
              </w:rPr>
              <w:t>THỦ TỤC HÀNH CHÍNH, CHUYỂN ĐỔI SỐ VÀ KỸ THUẬT SOẠN THẢO</w:t>
            </w:r>
          </w:p>
        </w:tc>
      </w:tr>
      <w:tr w:rsidR="00015EE7" w:rsidRPr="00015EE7" w14:paraId="1F33E54A" w14:textId="77777777" w:rsidTr="00015EE7">
        <w:tc>
          <w:tcPr>
            <w:tcW w:w="445" w:type="pct"/>
          </w:tcPr>
          <w:p w14:paraId="53C446AF"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t>21</w:t>
            </w:r>
          </w:p>
        </w:tc>
        <w:tc>
          <w:tcPr>
            <w:tcW w:w="1540" w:type="pct"/>
          </w:tcPr>
          <w:p w14:paraId="2BD87C78"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Về thủ tục hành chính:</w:t>
            </w:r>
            <w:r w:rsidRPr="00015EE7">
              <w:rPr>
                <w:rFonts w:eastAsia="Arial"/>
                <w:color w:val="1F1F1F"/>
              </w:rPr>
              <w:t xml:space="preserve"> Đề nghị thuyết minh rõ Thông tư không quy định thủ tục hành chính ngoài thẩm quyền đối với tổ chức, cá nhân bên ngoài xã hội theo Nghị định 63/2010/NĐ-CP.</w:t>
            </w:r>
          </w:p>
        </w:tc>
        <w:tc>
          <w:tcPr>
            <w:tcW w:w="1490" w:type="pct"/>
          </w:tcPr>
          <w:p w14:paraId="2B2BD9B7"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Vụ Pháp chế</w:t>
            </w:r>
          </w:p>
        </w:tc>
        <w:tc>
          <w:tcPr>
            <w:tcW w:w="1525" w:type="pct"/>
          </w:tcPr>
          <w:p w14:paraId="4C4C1E51"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Đã làm rõ tại mục V Tờ trình: Thông tư không ban hành TTHC đối với người dân, doanh nghiệp ngoài xã hội; các quy trình nội bộ được số hóa và Cục KHCN&amp;ĐT đang phối hợp Văn phòng Bộ xây dựng dự thảo Quyết định công bố TTHC nội bộ để trình ban hành đồng thời theo Công văn 8536/VPCP-KSTT.</w:t>
            </w:r>
          </w:p>
        </w:tc>
      </w:tr>
      <w:tr w:rsidR="00015EE7" w:rsidRPr="00015EE7" w14:paraId="3A4C596F" w14:textId="77777777" w:rsidTr="00015EE7">
        <w:tc>
          <w:tcPr>
            <w:tcW w:w="445" w:type="pct"/>
          </w:tcPr>
          <w:p w14:paraId="24F015E3"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t>22</w:t>
            </w:r>
          </w:p>
        </w:tc>
        <w:tc>
          <w:tcPr>
            <w:tcW w:w="1540" w:type="pct"/>
          </w:tcPr>
          <w:p w14:paraId="29845C50"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Về chuyển đổi số trong quản lý:</w:t>
            </w:r>
            <w:r w:rsidRPr="00015EE7">
              <w:rPr>
                <w:rFonts w:eastAsia="Arial"/>
                <w:color w:val="1F1F1F"/>
              </w:rPr>
              <w:t xml:space="preserve"> Đề nghị đẩy mạnh số hóa, ứng dụng CNTT từ khâu nộp hồ sơ, thẩm định, quản lý tiến độ đến đánh giá kết quả.</w:t>
            </w:r>
          </w:p>
        </w:tc>
        <w:tc>
          <w:tcPr>
            <w:tcW w:w="1490" w:type="pct"/>
          </w:tcPr>
          <w:p w14:paraId="55D64167"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xml:space="preserve">Viện VSDT Trung ương, BV Da liễu Trung ương, BV Trung ương </w:t>
            </w:r>
            <w:proofErr w:type="spellStart"/>
            <w:r w:rsidRPr="00015EE7">
              <w:rPr>
                <w:rFonts w:eastAsia="Arial"/>
                <w:color w:val="1F1F1F"/>
              </w:rPr>
              <w:t>Huế</w:t>
            </w:r>
            <w:proofErr w:type="spellEnd"/>
          </w:p>
        </w:tc>
        <w:tc>
          <w:tcPr>
            <w:tcW w:w="1525" w:type="pct"/>
          </w:tcPr>
          <w:p w14:paraId="1797EC2E"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Tiếp thu toàn bộ, quy định bắt buộc toàn bộ quy trình thực hiện trực tuyến, đồng bộ trên Hệ thống phần mềm quản lý nhiệm vụ KH&amp;CN ngành y tế (khoản 1 Điều 12 và điểm e khoản 1 Điều 26).</w:t>
            </w:r>
          </w:p>
        </w:tc>
      </w:tr>
      <w:tr w:rsidR="00015EE7" w:rsidRPr="00015EE7" w14:paraId="4DBBB463" w14:textId="77777777" w:rsidTr="00015EE7">
        <w:tc>
          <w:tcPr>
            <w:tcW w:w="445" w:type="pct"/>
          </w:tcPr>
          <w:p w14:paraId="1E0FBE0F" w14:textId="77777777" w:rsidR="00015EE7" w:rsidRPr="00015EE7" w:rsidRDefault="00015EE7" w:rsidP="00FF7C3F">
            <w:pPr>
              <w:pBdr>
                <w:top w:val="nil"/>
                <w:left w:val="nil"/>
                <w:bottom w:val="nil"/>
                <w:right w:val="nil"/>
                <w:between w:val="nil"/>
              </w:pBdr>
              <w:spacing w:before="120" w:after="120" w:line="275" w:lineRule="auto"/>
              <w:rPr>
                <w:color w:val="1F1F1F"/>
              </w:rPr>
            </w:pPr>
            <w:r w:rsidRPr="00015EE7">
              <w:rPr>
                <w:rFonts w:eastAsia="Arial"/>
                <w:color w:val="1F1F1F"/>
              </w:rPr>
              <w:t>23</w:t>
            </w:r>
          </w:p>
        </w:tc>
        <w:tc>
          <w:tcPr>
            <w:tcW w:w="1540" w:type="pct"/>
          </w:tcPr>
          <w:p w14:paraId="5CFB0AE8" w14:textId="77777777" w:rsidR="00015EE7" w:rsidRPr="00015EE7" w:rsidRDefault="00015EE7" w:rsidP="00FF7C3F">
            <w:pPr>
              <w:pBdr>
                <w:top w:val="nil"/>
                <w:left w:val="nil"/>
                <w:bottom w:val="nil"/>
                <w:right w:val="nil"/>
                <w:between w:val="nil"/>
              </w:pBdr>
              <w:spacing w:line="275" w:lineRule="auto"/>
              <w:rPr>
                <w:b/>
                <w:bCs/>
                <w:color w:val="1F1F1F"/>
              </w:rPr>
            </w:pPr>
            <w:r w:rsidRPr="00015EE7">
              <w:rPr>
                <w:rFonts w:eastAsia="Arial"/>
                <w:b/>
                <w:bCs/>
                <w:color w:val="1F1F1F"/>
              </w:rPr>
              <w:t>Về kỹ thuật lập quy, lỗi chính tả, số hiệu văn bản:</w:t>
            </w:r>
          </w:p>
          <w:p w14:paraId="25DE4EBC" w14:textId="77777777" w:rsidR="00015EE7" w:rsidRPr="00015EE7" w:rsidRDefault="00015EE7" w:rsidP="00FF7C3F">
            <w:pPr>
              <w:pBdr>
                <w:top w:val="nil"/>
                <w:left w:val="nil"/>
                <w:bottom w:val="nil"/>
                <w:right w:val="nil"/>
                <w:between w:val="nil"/>
              </w:pBdr>
              <w:spacing w:line="275" w:lineRule="auto"/>
              <w:rPr>
                <w:b/>
                <w:bCs/>
                <w:color w:val="1F1F1F"/>
              </w:rPr>
            </w:pPr>
          </w:p>
          <w:p w14:paraId="5C7F3DB7"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Ký hiệu số hiệu Thông tư ghi nhầm ".../2026/TT-BKHCN" sửa lại thành ".../2026/TT-BYT".</w:t>
            </w:r>
          </w:p>
          <w:p w14:paraId="186F70E5" w14:textId="77777777" w:rsidR="00015EE7" w:rsidRPr="00015EE7" w:rsidRDefault="00015EE7" w:rsidP="00FF7C3F">
            <w:pPr>
              <w:pBdr>
                <w:top w:val="nil"/>
                <w:left w:val="nil"/>
                <w:bottom w:val="nil"/>
                <w:right w:val="nil"/>
                <w:between w:val="nil"/>
              </w:pBdr>
              <w:spacing w:line="275" w:lineRule="auto"/>
              <w:rPr>
                <w:color w:val="1F1F1F"/>
              </w:rPr>
            </w:pPr>
          </w:p>
          <w:p w14:paraId="064ACBC0"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lastRenderedPageBreak/>
              <w:t>- Sửa các lỗi chính tả ở bản thảo cũ: "</w:t>
            </w:r>
            <w:proofErr w:type="spellStart"/>
            <w:r w:rsidRPr="00015EE7">
              <w:rPr>
                <w:rFonts w:eastAsia="Arial"/>
                <w:color w:val="1F1F1F"/>
              </w:rPr>
              <w:t>ghĩ</w:t>
            </w:r>
            <w:proofErr w:type="spellEnd"/>
            <w:r w:rsidRPr="00015EE7">
              <w:rPr>
                <w:rFonts w:eastAsia="Arial"/>
                <w:color w:val="1F1F1F"/>
              </w:rPr>
              <w:t xml:space="preserve"> rõ", "Thổ thẩm định", "phẩm mềm", "dại Điều 15".</w:t>
            </w:r>
          </w:p>
          <w:p w14:paraId="7E772DF5" w14:textId="77777777" w:rsidR="00015EE7" w:rsidRPr="00015EE7" w:rsidRDefault="00015EE7" w:rsidP="00FF7C3F">
            <w:pPr>
              <w:pBdr>
                <w:top w:val="nil"/>
                <w:left w:val="nil"/>
                <w:bottom w:val="nil"/>
                <w:right w:val="nil"/>
                <w:between w:val="nil"/>
              </w:pBdr>
              <w:spacing w:line="275" w:lineRule="auto"/>
              <w:rPr>
                <w:color w:val="1F1F1F"/>
              </w:rPr>
            </w:pPr>
          </w:p>
          <w:p w14:paraId="3D2B0C76"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t>- Đánh số thứ tự các Chương, các Điều bị nhảy cách, trùng lặp.</w:t>
            </w:r>
          </w:p>
        </w:tc>
        <w:tc>
          <w:tcPr>
            <w:tcW w:w="1490" w:type="pct"/>
          </w:tcPr>
          <w:p w14:paraId="3789D978"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color w:val="1F1F1F"/>
              </w:rPr>
              <w:lastRenderedPageBreak/>
              <w:t>BV Trung ương Thái Nguyên, Trường ĐH Điều dưỡng Nam Định, Trung tâm Điều dưỡng Việt Trì, BV K, Viện VSDT Tây Nguyên</w:t>
            </w:r>
          </w:p>
        </w:tc>
        <w:tc>
          <w:tcPr>
            <w:tcW w:w="1525" w:type="pct"/>
          </w:tcPr>
          <w:p w14:paraId="3E6898D3" w14:textId="77777777" w:rsidR="00015EE7" w:rsidRPr="00015EE7" w:rsidRDefault="00015EE7" w:rsidP="00FF7C3F">
            <w:pPr>
              <w:pBdr>
                <w:top w:val="nil"/>
                <w:left w:val="nil"/>
                <w:bottom w:val="nil"/>
                <w:right w:val="nil"/>
                <w:between w:val="nil"/>
              </w:pBdr>
              <w:spacing w:line="275" w:lineRule="auto"/>
              <w:rPr>
                <w:color w:val="1F1F1F"/>
              </w:rPr>
            </w:pPr>
            <w:r w:rsidRPr="00015EE7">
              <w:rPr>
                <w:rFonts w:eastAsia="Arial"/>
                <w:b/>
                <w:bCs/>
                <w:color w:val="1F1F1F"/>
              </w:rPr>
              <w:t>Tiếp thu:</w:t>
            </w:r>
            <w:r w:rsidRPr="00015EE7">
              <w:rPr>
                <w:rFonts w:eastAsia="Arial"/>
                <w:color w:val="1F1F1F"/>
              </w:rPr>
              <w:t xml:space="preserve"> Cơ quan soạn thảo đã rà soát, chỉnh lý toàn bộ kỹ thuật lập quy: thống nhất ký hiệu Thông tư của Bộ Y tế; đánh lại số thứ tự logic gồm 04 Chương, 27 Điều; khắc phục toàn bộ các lỗi chính tả và lỗi trình bày văn bản.</w:t>
            </w:r>
          </w:p>
        </w:tc>
      </w:tr>
    </w:tbl>
    <w:p w14:paraId="2DEB3930" w14:textId="77777777" w:rsidR="00015EE7" w:rsidRDefault="00015EE7" w:rsidP="00015EE7">
      <w:pPr>
        <w:pBdr>
          <w:top w:val="nil"/>
          <w:left w:val="nil"/>
          <w:bottom w:val="nil"/>
          <w:right w:val="nil"/>
          <w:between w:val="nil"/>
        </w:pBdr>
        <w:spacing w:line="275" w:lineRule="auto"/>
        <w:rPr>
          <w:rFonts w:eastAsia="Arial"/>
          <w:color w:val="1F1F1F"/>
          <w:lang w:val="vi-VN"/>
        </w:rPr>
      </w:pPr>
    </w:p>
    <w:p w14:paraId="35041CB9" w14:textId="2F42BA20" w:rsidR="00015EE7" w:rsidRPr="00015EE7" w:rsidRDefault="00015EE7" w:rsidP="00015EE7">
      <w:pPr>
        <w:pBdr>
          <w:top w:val="nil"/>
          <w:left w:val="nil"/>
          <w:bottom w:val="nil"/>
          <w:right w:val="nil"/>
          <w:between w:val="nil"/>
        </w:pBdr>
        <w:spacing w:line="275" w:lineRule="auto"/>
        <w:ind w:firstLine="720"/>
        <w:rPr>
          <w:color w:val="1F1F1F"/>
        </w:rPr>
      </w:pPr>
      <w:r w:rsidRPr="00015EE7">
        <w:rPr>
          <w:rFonts w:eastAsia="Arial"/>
          <w:color w:val="1F1F1F"/>
        </w:rPr>
        <w:t>Bản tổng hợp ý kiến, tiếp thu, giải trình này được hoàn thiện trên cơ sở nghiên cứu kỹ lưỡng toàn bộ ý kiến đóng góp của các cơ quan, đơn vị; tuân thủ đúng quy định của Luật Ban hành văn bản quy phạm pháp luật, Nghị định số 78/2025/NĐ-CP (sửa đổi, bổ sung bởi Nghị định số 187/2025/NĐ-CP) và phản ánh trung thực kết quả chỉnh lý hồ sơ dự thảo Thông tư.</w:t>
      </w:r>
    </w:p>
    <w:p w14:paraId="07D0CCEF" w14:textId="79CEA81D" w:rsidR="008D7C4C" w:rsidRPr="00015EE7" w:rsidRDefault="00015EE7" w:rsidP="00015EE7">
      <w:pPr>
        <w:ind w:firstLine="720"/>
      </w:pPr>
      <w:r w:rsidRPr="00015EE7">
        <w:rPr>
          <w:rFonts w:eastAsia="Arial"/>
          <w:color w:val="1F1F1F"/>
        </w:rPr>
        <w:t>Cục Khoa học công nghệ và Đào tạo kính báo cáo Lãnh đạo Bộ Y tế xem xét, quyết định./.</w:t>
      </w:r>
    </w:p>
    <w:sectPr w:rsidR="008D7C4C" w:rsidRPr="00015EE7">
      <w:headerReference w:type="even" r:id="rId7"/>
      <w:headerReference w:type="default" r:id="rId8"/>
      <w:pgSz w:w="16838" w:h="11906" w:orient="landscape"/>
      <w:pgMar w:top="1134" w:right="1134" w:bottom="1134" w:left="1425"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DE148B" w14:textId="77777777" w:rsidR="003459CF" w:rsidRDefault="003459CF" w:rsidP="00015EE7">
      <w:r>
        <w:separator/>
      </w:r>
    </w:p>
  </w:endnote>
  <w:endnote w:type="continuationSeparator" w:id="0">
    <w:p w14:paraId="43B39CCA" w14:textId="77777777" w:rsidR="003459CF" w:rsidRDefault="003459CF" w:rsidP="00015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68EA0D" w14:textId="77777777" w:rsidR="003459CF" w:rsidRDefault="003459CF" w:rsidP="00015EE7">
      <w:r>
        <w:separator/>
      </w:r>
    </w:p>
  </w:footnote>
  <w:footnote w:type="continuationSeparator" w:id="0">
    <w:p w14:paraId="0862C4BA" w14:textId="77777777" w:rsidR="003459CF" w:rsidRDefault="003459CF" w:rsidP="00015E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27478331"/>
      <w:docPartObj>
        <w:docPartGallery w:val="Page Numbers (Top of Page)"/>
        <w:docPartUnique/>
      </w:docPartObj>
    </w:sdtPr>
    <w:sdtContent>
      <w:p w14:paraId="489911E7" w14:textId="3A571AEC" w:rsidR="00015EE7" w:rsidRDefault="00015EE7" w:rsidP="0066163D">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D89C00A" w14:textId="77777777" w:rsidR="00015EE7" w:rsidRDefault="00015E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95747140"/>
      <w:docPartObj>
        <w:docPartGallery w:val="Page Numbers (Top of Page)"/>
        <w:docPartUnique/>
      </w:docPartObj>
    </w:sdtPr>
    <w:sdtContent>
      <w:p w14:paraId="6F20AFB4" w14:textId="4BCF7228" w:rsidR="00015EE7" w:rsidRDefault="00015EE7" w:rsidP="0066163D">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579DD04" w14:textId="77777777" w:rsidR="00015EE7" w:rsidRDefault="00015E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7225F9"/>
    <w:multiLevelType w:val="hybridMultilevel"/>
    <w:tmpl w:val="DBAE5136"/>
    <w:lvl w:ilvl="0" w:tplc="0980D4D0">
      <w:start w:val="1"/>
      <w:numFmt w:val="bullet"/>
      <w:lvlText w:val="●"/>
      <w:lvlJc w:val="left"/>
      <w:pPr>
        <w:ind w:left="720" w:hanging="360"/>
      </w:pPr>
    </w:lvl>
    <w:lvl w:ilvl="1" w:tplc="E8606C64">
      <w:start w:val="1"/>
      <w:numFmt w:val="bullet"/>
      <w:lvlText w:val="○"/>
      <w:lvlJc w:val="left"/>
      <w:pPr>
        <w:ind w:left="1440" w:hanging="360"/>
      </w:pPr>
    </w:lvl>
    <w:lvl w:ilvl="2" w:tplc="9C60BD40">
      <w:start w:val="1"/>
      <w:numFmt w:val="bullet"/>
      <w:lvlText w:val="■"/>
      <w:lvlJc w:val="left"/>
      <w:pPr>
        <w:ind w:left="2160" w:hanging="360"/>
      </w:pPr>
    </w:lvl>
    <w:lvl w:ilvl="3" w:tplc="B5ECD054">
      <w:start w:val="1"/>
      <w:numFmt w:val="bullet"/>
      <w:lvlText w:val="●"/>
      <w:lvlJc w:val="left"/>
      <w:pPr>
        <w:ind w:left="2880" w:hanging="360"/>
      </w:pPr>
    </w:lvl>
    <w:lvl w:ilvl="4" w:tplc="DC06936C">
      <w:start w:val="1"/>
      <w:numFmt w:val="bullet"/>
      <w:lvlText w:val="○"/>
      <w:lvlJc w:val="left"/>
      <w:pPr>
        <w:ind w:left="3600" w:hanging="360"/>
      </w:pPr>
    </w:lvl>
    <w:lvl w:ilvl="5" w:tplc="154EB706">
      <w:start w:val="1"/>
      <w:numFmt w:val="bullet"/>
      <w:lvlText w:val="■"/>
      <w:lvlJc w:val="left"/>
      <w:pPr>
        <w:ind w:left="4320" w:hanging="360"/>
      </w:pPr>
    </w:lvl>
    <w:lvl w:ilvl="6" w:tplc="F6DE4FAA">
      <w:start w:val="1"/>
      <w:numFmt w:val="bullet"/>
      <w:lvlText w:val="●"/>
      <w:lvlJc w:val="left"/>
      <w:pPr>
        <w:ind w:left="5040" w:hanging="360"/>
      </w:pPr>
    </w:lvl>
    <w:lvl w:ilvl="7" w:tplc="939418E6">
      <w:start w:val="1"/>
      <w:numFmt w:val="bullet"/>
      <w:lvlText w:val="●"/>
      <w:lvlJc w:val="left"/>
      <w:pPr>
        <w:ind w:left="5760" w:hanging="360"/>
      </w:pPr>
    </w:lvl>
    <w:lvl w:ilvl="8" w:tplc="8FE6F0EC">
      <w:start w:val="1"/>
      <w:numFmt w:val="bullet"/>
      <w:lvlText w:val="●"/>
      <w:lvlJc w:val="left"/>
      <w:pPr>
        <w:ind w:left="6480" w:hanging="360"/>
      </w:pPr>
    </w:lvl>
  </w:abstractNum>
  <w:abstractNum w:abstractNumId="1" w15:restartNumberingAfterBreak="0">
    <w:nsid w:val="20DB2606"/>
    <w:multiLevelType w:val="hybridMultilevel"/>
    <w:tmpl w:val="A23689AA"/>
    <w:lvl w:ilvl="0" w:tplc="32567EF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977E29"/>
    <w:multiLevelType w:val="multilevel"/>
    <w:tmpl w:val="57F84D64"/>
    <w:lvl w:ilvl="0">
      <w:start w:val="1"/>
      <w:numFmt w:val="bullet"/>
      <w:lvlText w:val="●"/>
      <w:lvlJc w:val="left"/>
      <w:pPr>
        <w:ind w:left="9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373462750">
    <w:abstractNumId w:val="0"/>
    <w:lvlOverride w:ilvl="0">
      <w:startOverride w:val="1"/>
    </w:lvlOverride>
  </w:num>
  <w:num w:numId="2" w16cid:durableId="479467007">
    <w:abstractNumId w:val="1"/>
  </w:num>
  <w:num w:numId="3" w16cid:durableId="109971860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78F"/>
    <w:rsid w:val="00015EE7"/>
    <w:rsid w:val="00171E63"/>
    <w:rsid w:val="0022178F"/>
    <w:rsid w:val="00277C48"/>
    <w:rsid w:val="002918B5"/>
    <w:rsid w:val="003459CF"/>
    <w:rsid w:val="004B6453"/>
    <w:rsid w:val="00673569"/>
    <w:rsid w:val="006E478E"/>
    <w:rsid w:val="007209E7"/>
    <w:rsid w:val="00755B7D"/>
    <w:rsid w:val="007A5355"/>
    <w:rsid w:val="008D7C4C"/>
    <w:rsid w:val="00926A4C"/>
    <w:rsid w:val="009A04EC"/>
    <w:rsid w:val="00B724F7"/>
    <w:rsid w:val="00BC4F4E"/>
    <w:rsid w:val="00C4716E"/>
    <w:rsid w:val="00C708F1"/>
    <w:rsid w:val="00D32FC3"/>
    <w:rsid w:val="00D47F41"/>
    <w:rsid w:val="00DE3FCC"/>
    <w:rsid w:val="00DF2514"/>
    <w:rsid w:val="00F22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47985"/>
  <w15:docId w15:val="{3E2827AD-4D30-4B97-89D2-ED0694C51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015E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5EE7"/>
    <w:pPr>
      <w:tabs>
        <w:tab w:val="center" w:pos="4513"/>
        <w:tab w:val="right" w:pos="9026"/>
      </w:tabs>
    </w:pPr>
  </w:style>
  <w:style w:type="character" w:customStyle="1" w:styleId="HeaderChar">
    <w:name w:val="Header Char"/>
    <w:basedOn w:val="DefaultParagraphFont"/>
    <w:link w:val="Header"/>
    <w:uiPriority w:val="99"/>
    <w:rsid w:val="00015EE7"/>
  </w:style>
  <w:style w:type="character" w:styleId="PageNumber">
    <w:name w:val="page number"/>
    <w:basedOn w:val="DefaultParagraphFont"/>
    <w:uiPriority w:val="99"/>
    <w:semiHidden/>
    <w:unhideWhenUsed/>
    <w:rsid w:val="00015E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11</Pages>
  <Words>2323</Words>
  <Characters>13246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Hiếu Lê</cp:lastModifiedBy>
  <cp:revision>14</cp:revision>
  <dcterms:created xsi:type="dcterms:W3CDTF">2026-09-16T08:05:00Z</dcterms:created>
  <dcterms:modified xsi:type="dcterms:W3CDTF">2026-10-11T13:50:00Z</dcterms:modified>
</cp:coreProperties>
</file>